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A889B" w14:textId="77777777" w:rsidR="00300699" w:rsidRDefault="00300699">
      <w:pPr>
        <w:spacing w:after="800"/>
      </w:pPr>
    </w:p>
    <w:p w14:paraId="25378FC8" w14:textId="77777777" w:rsidR="00300699" w:rsidRDefault="00000000">
      <w:pPr>
        <w:spacing w:after="80"/>
      </w:pPr>
      <w:r>
        <w:rPr>
          <w:b/>
          <w:bCs/>
          <w:color w:val="1A2B4A"/>
          <w:sz w:val="72"/>
          <w:szCs w:val="72"/>
        </w:rPr>
        <w:t>BEYOND THE CHECKBOX</w:t>
      </w:r>
    </w:p>
    <w:p w14:paraId="5F93AD97" w14:textId="77777777" w:rsidR="00300699" w:rsidRDefault="00000000">
      <w:pPr>
        <w:spacing w:after="500"/>
      </w:pPr>
      <w:r>
        <w:rPr>
          <w:i/>
          <w:iCs/>
          <w:color w:val="0B6E6E"/>
          <w:sz w:val="40"/>
          <w:szCs w:val="40"/>
        </w:rPr>
        <w:t>Redefining Human Value in the Age of AI</w:t>
      </w:r>
    </w:p>
    <w:p w14:paraId="3F777410" w14:textId="77777777" w:rsidR="00300699" w:rsidRDefault="00300699">
      <w:pPr>
        <w:pBdr>
          <w:bottom w:val="single" w:sz="16" w:space="0" w:color="C9933B"/>
        </w:pBdr>
        <w:spacing w:after="160"/>
      </w:pPr>
    </w:p>
    <w:p w14:paraId="64AC6D77" w14:textId="77777777" w:rsidR="00300699" w:rsidRDefault="00300699">
      <w:pPr>
        <w:spacing w:after="200"/>
      </w:pPr>
    </w:p>
    <w:p w14:paraId="0B956845" w14:textId="77777777" w:rsidR="00300699" w:rsidRDefault="00000000">
      <w:r>
        <w:br w:type="page"/>
      </w:r>
    </w:p>
    <w:p w14:paraId="7DCDC3ED" w14:textId="77777777" w:rsidR="00300699" w:rsidRDefault="00000000">
      <w:pPr>
        <w:pStyle w:val="Heading1"/>
        <w:pBdr>
          <w:bottom w:val="single" w:sz="6" w:space="0" w:color="0B6E6E"/>
        </w:pBdr>
      </w:pPr>
      <w:r>
        <w:lastRenderedPageBreak/>
        <w:t>Executive Summary</w:t>
      </w:r>
    </w:p>
    <w:p w14:paraId="59E26963" w14:textId="77777777" w:rsidR="00300699" w:rsidRDefault="00000000">
      <w:pPr>
        <w:spacing w:after="160"/>
        <w:jc w:val="both"/>
      </w:pPr>
      <w:r>
        <w:rPr>
          <w:color w:val="2C3E50"/>
        </w:rPr>
        <w:t>The rapid integration of artificial intelligence into knowledge-intensive workflows has introduced a seductive myth: that placing a human at the end of an AI pipeline is sufficient to ensure safety, accuracy, and accountability. This myth is known as Human-in-the-Loop (HITL) — and while the intention behind it is sound, its execution has become dangerously superficial.</w:t>
      </w:r>
    </w:p>
    <w:p w14:paraId="5DF1D268" w14:textId="77777777" w:rsidR="00300699" w:rsidRDefault="00000000">
      <w:pPr>
        <w:spacing w:after="160"/>
        <w:jc w:val="both"/>
      </w:pPr>
      <w:r>
        <w:rPr>
          <w:color w:val="2C3E50"/>
        </w:rPr>
        <w:t>This paper challenges the prevailing notion of HITL as a quality control mechanism and proposes a more rigorous, more honest model: one in which human involvement is intentional, traceable, measurable, and grounded in the uniquely human capacities that no AI system can replicate. It argues that the future of human value in AI-augmented environments lies not in reviewing AI outputs, but in exercising contextual judgment, ethical discernment, relational intelligence, and the kind of embodied, experiential knowing that is fundamentally absent from machine cognition.</w:t>
      </w:r>
    </w:p>
    <w:p w14:paraId="2121B8A6" w14:textId="77777777" w:rsidR="00300699" w:rsidRDefault="00000000">
      <w:pPr>
        <w:spacing w:after="160"/>
        <w:jc w:val="both"/>
      </w:pPr>
      <w:r>
        <w:rPr>
          <w:color w:val="2C3E50"/>
        </w:rPr>
        <w:t>Drawing on principles from regulated industries — where the stakes of error are documented in adverse events and inspection findings, not merely lost revenue — this paper outlines a practical framework for decomposing human-AI tasks, defining genuine control points, and cultivating the soft skills that will separate effective human collaborators from passive AI validators.</w:t>
      </w:r>
    </w:p>
    <w:p w14:paraId="25B57C1E" w14:textId="77777777" w:rsidR="00300699" w:rsidRDefault="00300699">
      <w:pPr>
        <w:spacing w:after="160"/>
      </w:pPr>
    </w:p>
    <w:p w14:paraId="3E674D23" w14:textId="77777777" w:rsidR="00300699" w:rsidRDefault="00000000">
      <w:pPr>
        <w:pStyle w:val="Heading1"/>
        <w:pBdr>
          <w:bottom w:val="single" w:sz="6" w:space="0" w:color="0B6E6E"/>
        </w:pBdr>
      </w:pPr>
      <w:r>
        <w:t>1. The HITL Illusion: When Human Oversight Becomes a Rubber Stamp</w:t>
      </w:r>
    </w:p>
    <w:p w14:paraId="1C070112" w14:textId="77777777" w:rsidR="00300699" w:rsidRDefault="00000000">
      <w:pPr>
        <w:pStyle w:val="Heading2"/>
      </w:pPr>
      <w:r>
        <w:t>1.1 The Origin and Promise of Human-in-the-Loop</w:t>
      </w:r>
    </w:p>
    <w:p w14:paraId="53C0E2B5" w14:textId="77777777" w:rsidR="00300699" w:rsidRDefault="00000000">
      <w:pPr>
        <w:spacing w:after="160"/>
        <w:jc w:val="both"/>
      </w:pPr>
      <w:r>
        <w:rPr>
          <w:color w:val="2C3E50"/>
        </w:rPr>
        <w:t>Human-in-the-Loop emerged as a sensible response to the early recognition that AI systems make mistakes — sometimes subtle, sometimes catastrophic. The principle is straightforward: keep a human involved at critical junctures so that errors can be caught, bias can be corrected, and accountability can be maintained. In fields such as medical imaging, autonomous vehicles, and financial fraud detection, HITL has genuine operational substance.</w:t>
      </w:r>
    </w:p>
    <w:p w14:paraId="587C94B6" w14:textId="587C0D70" w:rsidR="00300699" w:rsidRDefault="00000000" w:rsidP="00D94C52">
      <w:pPr>
        <w:spacing w:after="160"/>
        <w:jc w:val="both"/>
      </w:pPr>
      <w:r>
        <w:rPr>
          <w:color w:val="2C3E50"/>
        </w:rPr>
        <w:t>But as AI has proliferated into document generation, content review, data classification, process automation, and now clinical trial management, the term HITL has been increasingly co-opted as a compliance label rather than a meaningful operational standard. It is invoked in system validation plans, quality frameworks, and vendor pitches without any specification of what the human is actually doing, how long they are doing it, what qualifications they possess, and — critically — whether their involvement is capable of catching the errors that matter most.</w:t>
      </w:r>
    </w:p>
    <w:p w14:paraId="3E61F6FD" w14:textId="77777777" w:rsidR="00300699" w:rsidRDefault="00000000">
      <w:pPr>
        <w:pStyle w:val="Heading2"/>
      </w:pPr>
      <w:r>
        <w:t>1.2 The Illusion of Control</w:t>
      </w:r>
    </w:p>
    <w:p w14:paraId="4F4D1ED4" w14:textId="77777777" w:rsidR="00300699" w:rsidRDefault="00000000">
      <w:pPr>
        <w:spacing w:after="160"/>
        <w:jc w:val="both"/>
      </w:pPr>
      <w:r>
        <w:rPr>
          <w:color w:val="2C3E50"/>
        </w:rPr>
        <w:t>The psychology of control is well understood. When humans are placed in a position that resembles oversight — presented with a review interface, a confirmation button, an approval workflow — they experience a sense of control that may bear little relationship to the actual control they are exercising. This is the HITL illusion: the organizational comfort of believing that human judgment is in the loop, while in practice, cognitive load, time pressure, automation bias, and interface design conspire to render that judgment nominal.</w:t>
      </w:r>
    </w:p>
    <w:p w14:paraId="5CA47977" w14:textId="77777777" w:rsidR="00300699" w:rsidRDefault="00000000">
      <w:pPr>
        <w:spacing w:after="160"/>
        <w:jc w:val="both"/>
      </w:pPr>
      <w:r>
        <w:rPr>
          <w:color w:val="2C3E50"/>
        </w:rPr>
        <w:t xml:space="preserve">Automation bias — the documented tendency of humans to over-rely on automated recommendations even when they are wrong — is not a character flaw. It is a predictable cognitive response to repeated exposure to high-accuracy AI outputs. When a system is </w:t>
      </w:r>
      <w:r>
        <w:rPr>
          <w:color w:val="2C3E50"/>
        </w:rPr>
        <w:lastRenderedPageBreak/>
        <w:t>correct 97% of the time, the human brain learns, efficiently and rationally, to agree. The 3% that matters is precisely where HITL was supposed to protect us.</w:t>
      </w:r>
    </w:p>
    <w:p w14:paraId="2CD4AAE4" w14:textId="77777777" w:rsidR="00300699" w:rsidRDefault="00000000">
      <w:pPr>
        <w:spacing w:after="160"/>
        <w:jc w:val="both"/>
      </w:pPr>
      <w:r>
        <w:rPr>
          <w:color w:val="2C3E50"/>
        </w:rPr>
        <w:t>In regulated environments, this is not merely an efficiency concern. It is a quality and patient safety concern. An AI-generated document that contains a hallucinated regulatory reference, a subtly misclassified finding, or a plausible but incorrect protocol interpretation — approved by a human who experienced the HITL illusion — carries the full weight of organizational accountability with none of the genuine oversight that was assumed.</w:t>
      </w:r>
    </w:p>
    <w:p w14:paraId="75ACAC70" w14:textId="77777777" w:rsidR="00300699" w:rsidRDefault="00300699">
      <w:pPr>
        <w:spacing w:after="80"/>
      </w:pPr>
    </w:p>
    <w:p w14:paraId="7C604D0E" w14:textId="77777777" w:rsidR="00300699" w:rsidRDefault="00000000">
      <w:pPr>
        <w:pStyle w:val="Heading2"/>
      </w:pPr>
      <w:r>
        <w:t>1.3 What Genuine Control Actually Requires</w:t>
      </w:r>
    </w:p>
    <w:p w14:paraId="15790268" w14:textId="77777777" w:rsidR="00300699" w:rsidRDefault="00000000">
      <w:pPr>
        <w:spacing w:after="160"/>
        <w:jc w:val="both"/>
      </w:pPr>
      <w:r>
        <w:rPr>
          <w:color w:val="2C3E50"/>
        </w:rPr>
        <w:t>Genuine human control in an AI-assisted workflow requires more than presence. It requires three properties that are currently absent from most HITL implementations:</w:t>
      </w:r>
    </w:p>
    <w:p w14:paraId="5E5E0E0C" w14:textId="77777777" w:rsidR="00300699" w:rsidRPr="00D94C52" w:rsidRDefault="00000000">
      <w:pPr>
        <w:pStyle w:val="ListParagraph"/>
        <w:numPr>
          <w:ilvl w:val="0"/>
          <w:numId w:val="2"/>
        </w:numPr>
        <w:spacing w:after="100"/>
        <w:rPr>
          <w:highlight w:val="yellow"/>
        </w:rPr>
      </w:pPr>
      <w:commentRangeStart w:id="0"/>
      <w:r w:rsidRPr="00D94C52">
        <w:rPr>
          <w:color w:val="2C3E50"/>
          <w:highlight w:val="yellow"/>
        </w:rPr>
        <w:t>Intentionality: The human must know what they are controlling, why their judgment is specifically required at that point, and what criteria they are applying.</w:t>
      </w:r>
    </w:p>
    <w:p w14:paraId="594DBA06" w14:textId="77777777" w:rsidR="00300699" w:rsidRPr="00D94C52" w:rsidRDefault="00000000">
      <w:pPr>
        <w:pStyle w:val="ListParagraph"/>
        <w:numPr>
          <w:ilvl w:val="0"/>
          <w:numId w:val="2"/>
        </w:numPr>
        <w:spacing w:after="100"/>
        <w:rPr>
          <w:highlight w:val="yellow"/>
        </w:rPr>
      </w:pPr>
      <w:r w:rsidRPr="00D94C52">
        <w:rPr>
          <w:color w:val="2C3E50"/>
          <w:highlight w:val="yellow"/>
        </w:rPr>
        <w:t>Traceability: The human decision must be recorded in a way that distinguishes it from passive approval — capturing the judgment made, the information considered, and the alternative that was rejected.</w:t>
      </w:r>
    </w:p>
    <w:p w14:paraId="15E665F4" w14:textId="77777777" w:rsidR="00300699" w:rsidRPr="00D94C52" w:rsidRDefault="00000000">
      <w:pPr>
        <w:pStyle w:val="ListParagraph"/>
        <w:numPr>
          <w:ilvl w:val="0"/>
          <w:numId w:val="2"/>
        </w:numPr>
        <w:spacing w:after="100"/>
        <w:rPr>
          <w:highlight w:val="yellow"/>
        </w:rPr>
      </w:pPr>
      <w:r w:rsidRPr="00D94C52">
        <w:rPr>
          <w:color w:val="2C3E50"/>
          <w:highlight w:val="yellow"/>
        </w:rPr>
        <w:t>Measurability: The value of human involvement must be assessable over time. If human reviewers are catching no errors over months of operation, either the AI is perfect (unlikely) or the review process is not functioning (probable).</w:t>
      </w:r>
      <w:commentRangeEnd w:id="0"/>
      <w:r w:rsidR="00F17006" w:rsidRPr="00D94C52">
        <w:rPr>
          <w:rStyle w:val="CommentReference"/>
          <w:sz w:val="22"/>
          <w:szCs w:val="22"/>
          <w:highlight w:val="yellow"/>
        </w:rPr>
        <w:commentReference w:id="0"/>
      </w:r>
    </w:p>
    <w:p w14:paraId="42E1F916" w14:textId="77777777" w:rsidR="00300699" w:rsidRDefault="00300699">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00699" w14:paraId="772B13A1" w14:textId="77777777">
        <w:tc>
          <w:tcPr>
            <w:tcW w:w="9360" w:type="dxa"/>
            <w:tcBorders>
              <w:top w:val="single" w:sz="1" w:space="0" w:color="C5D0DC"/>
              <w:left w:val="single" w:sz="1" w:space="0" w:color="C5D0DC"/>
              <w:bottom w:val="single" w:sz="1" w:space="0" w:color="C5D0DC"/>
              <w:right w:val="single" w:sz="1" w:space="0" w:color="C5D0DC"/>
            </w:tcBorders>
            <w:shd w:val="clear" w:color="auto" w:fill="FDF5E6"/>
            <w:tcMar>
              <w:top w:w="160" w:type="dxa"/>
              <w:left w:w="240" w:type="dxa"/>
              <w:bottom w:w="160" w:type="dxa"/>
              <w:right w:w="240" w:type="dxa"/>
            </w:tcMar>
          </w:tcPr>
          <w:p w14:paraId="721DAAB7" w14:textId="77777777" w:rsidR="00300699" w:rsidRDefault="00000000">
            <w:pPr>
              <w:jc w:val="both"/>
            </w:pPr>
            <w:commentRangeStart w:id="1"/>
            <w:r>
              <w:rPr>
                <w:b/>
                <w:bCs/>
                <w:color w:val="1A2B4A"/>
              </w:rPr>
              <w:t>A genuine control point is not a click. It is a documented act of judgment, made by a qualified person, at a moment that was deliberately designed to require human cognition.</w:t>
            </w:r>
            <w:commentRangeEnd w:id="1"/>
            <w:r w:rsidR="00F17006">
              <w:rPr>
                <w:rStyle w:val="CommentReference"/>
                <w:sz w:val="22"/>
                <w:szCs w:val="22"/>
              </w:rPr>
              <w:commentReference w:id="1"/>
            </w:r>
          </w:p>
        </w:tc>
      </w:tr>
    </w:tbl>
    <w:p w14:paraId="4A9D1015" w14:textId="77777777" w:rsidR="00300699" w:rsidRDefault="00300699">
      <w:pPr>
        <w:spacing w:after="160"/>
      </w:pPr>
    </w:p>
    <w:p w14:paraId="067ED491" w14:textId="77777777" w:rsidR="00300699" w:rsidRDefault="00000000">
      <w:pPr>
        <w:pStyle w:val="Heading1"/>
        <w:pBdr>
          <w:bottom w:val="single" w:sz="6" w:space="0" w:color="0B6E6E"/>
        </w:pBdr>
      </w:pPr>
      <w:r>
        <w:t>2. Designing for Intentional Human Control</w:t>
      </w:r>
    </w:p>
    <w:p w14:paraId="4AAD7779" w14:textId="77777777" w:rsidR="00300699" w:rsidRDefault="00000000">
      <w:pPr>
        <w:pStyle w:val="Heading2"/>
      </w:pPr>
      <w:r>
        <w:t>2.1 Task Decomposition: The Foundation of Meaningful HITL</w:t>
      </w:r>
    </w:p>
    <w:p w14:paraId="7BCD2AA8" w14:textId="77777777" w:rsidR="00300699" w:rsidRDefault="00000000">
      <w:pPr>
        <w:spacing w:after="160"/>
        <w:jc w:val="both"/>
      </w:pPr>
      <w:r>
        <w:rPr>
          <w:color w:val="2C3E50"/>
        </w:rPr>
        <w:t>The most powerful tool for moving beyond the HITL illusion is rigorous task decomposition. Not all steps in a complex process require the same kind of intelligence. AI excels at pattern recognition, consistency, speed, and structured information retrieval. Humans excel at contextual judgment, ethical reasoning, anomaly recognition in ambiguous situations, and the integration of tacit knowledge with formal information.</w:t>
      </w:r>
    </w:p>
    <w:p w14:paraId="08EA56BC" w14:textId="77777777" w:rsidR="00300699" w:rsidRDefault="00000000">
      <w:pPr>
        <w:spacing w:after="160"/>
        <w:jc w:val="both"/>
      </w:pPr>
      <w:r>
        <w:rPr>
          <w:color w:val="2C3E50"/>
        </w:rPr>
        <w:t>Effective human-AI collaboration begins with an honest map of which steps in a given process require which kind of intelligence — and then deliberately allocating tasks accordingly, rather than asking humans to review everything or delegating everything to AI by default.</w:t>
      </w:r>
    </w:p>
    <w:p w14:paraId="210E2CC3" w14:textId="77777777" w:rsidR="00300699" w:rsidRDefault="00300699">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00699" w14:paraId="68872905" w14:textId="77777777">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37D7ECBD" w14:textId="77777777" w:rsidR="00300699" w:rsidRDefault="00000000">
            <w:r>
              <w:rPr>
                <w:b/>
                <w:bCs/>
                <w:color w:val="FFFFFF"/>
              </w:rPr>
              <w:t>AI-Appropriate Tasks</w:t>
            </w:r>
          </w:p>
        </w:tc>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71A1D577" w14:textId="77777777" w:rsidR="00300699" w:rsidRDefault="00000000">
            <w:r>
              <w:rPr>
                <w:b/>
                <w:bCs/>
                <w:color w:val="FFFFFF"/>
              </w:rPr>
              <w:t>Human-Appropriate Tasks</w:t>
            </w:r>
          </w:p>
        </w:tc>
      </w:tr>
      <w:tr w:rsidR="00300699" w14:paraId="4678EF79"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43D8926" w14:textId="77777777" w:rsidR="00300699" w:rsidRDefault="00000000">
            <w:r>
              <w:rPr>
                <w:b/>
                <w:bCs/>
                <w:color w:val="1A2B4A"/>
                <w:sz w:val="21"/>
                <w:szCs w:val="21"/>
              </w:rPr>
              <w:t>Process a large volume of structured documents for completeness</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67C33298" w14:textId="77777777" w:rsidR="00300699" w:rsidRDefault="00000000">
            <w:r>
              <w:rPr>
                <w:color w:val="2C3E50"/>
                <w:sz w:val="21"/>
                <w:szCs w:val="21"/>
              </w:rPr>
              <w:t>Review AI-flagged anomalies in documents that require regulatory interpretation</w:t>
            </w:r>
          </w:p>
        </w:tc>
      </w:tr>
      <w:tr w:rsidR="00300699" w14:paraId="696A2D6F" w14:textId="77777777">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2887D145" w14:textId="77777777" w:rsidR="00300699" w:rsidRDefault="00000000">
            <w:r>
              <w:rPr>
                <w:b/>
                <w:bCs/>
                <w:color w:val="1A2B4A"/>
                <w:sz w:val="21"/>
                <w:szCs w:val="21"/>
              </w:rPr>
              <w:lastRenderedPageBreak/>
              <w:t>Cross-reference document metadata against a reference model</w:t>
            </w:r>
          </w:p>
        </w:tc>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7D741583" w14:textId="77777777" w:rsidR="00300699" w:rsidRDefault="00000000">
            <w:r>
              <w:rPr>
                <w:color w:val="2C3E50"/>
                <w:sz w:val="21"/>
                <w:szCs w:val="21"/>
              </w:rPr>
              <w:t>Determine whether a missing document reflects a genuine gap or a legitimate deviation</w:t>
            </w:r>
          </w:p>
        </w:tc>
      </w:tr>
      <w:tr w:rsidR="00300699" w14:paraId="2B57AB8F"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95DFC6D" w14:textId="77777777" w:rsidR="00300699" w:rsidRDefault="00000000">
            <w:r>
              <w:rPr>
                <w:b/>
                <w:bCs/>
                <w:color w:val="1A2B4A"/>
                <w:sz w:val="21"/>
                <w:szCs w:val="21"/>
              </w:rPr>
              <w:t>Generate a first-draft inspection readiness summary</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15A9BA2A" w14:textId="77777777" w:rsidR="00300699" w:rsidRDefault="00000000">
            <w:r>
              <w:rPr>
                <w:color w:val="2C3E50"/>
                <w:sz w:val="21"/>
                <w:szCs w:val="21"/>
              </w:rPr>
              <w:t>Assess the risk significance of findings in the context of a specific trial's history</w:t>
            </w:r>
          </w:p>
        </w:tc>
      </w:tr>
      <w:tr w:rsidR="00300699" w14:paraId="4FA217DD" w14:textId="77777777">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5D5D5FAB" w14:textId="77777777" w:rsidR="00300699" w:rsidRDefault="00000000">
            <w:r>
              <w:rPr>
                <w:b/>
                <w:bCs/>
                <w:color w:val="1A2B4A"/>
                <w:sz w:val="21"/>
                <w:szCs w:val="21"/>
              </w:rPr>
              <w:t>Classify incoming documents by type and trial phase</w:t>
            </w:r>
          </w:p>
        </w:tc>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622C1157" w14:textId="77777777" w:rsidR="00300699" w:rsidRDefault="00000000">
            <w:r>
              <w:rPr>
                <w:color w:val="2C3E50"/>
                <w:sz w:val="21"/>
                <w:szCs w:val="21"/>
              </w:rPr>
              <w:t>Evaluate whether an AI classification decision reflects the intent of the protocol</w:t>
            </w:r>
          </w:p>
        </w:tc>
      </w:tr>
      <w:tr w:rsidR="00300699" w14:paraId="2DA9A1E7"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187A4A49" w14:textId="77777777" w:rsidR="00300699" w:rsidRDefault="00000000">
            <w:r>
              <w:rPr>
                <w:b/>
                <w:bCs/>
                <w:color w:val="1A2B4A"/>
                <w:sz w:val="21"/>
                <w:szCs w:val="21"/>
              </w:rPr>
              <w:t>Monitor real-time data for threshold breaches</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680938F" w14:textId="77777777" w:rsidR="00300699" w:rsidRDefault="00000000">
            <w:r>
              <w:rPr>
                <w:color w:val="2C3E50"/>
                <w:sz w:val="21"/>
                <w:szCs w:val="21"/>
              </w:rPr>
              <w:t>Decide whether a pattern of findings indicates a systemic quality issue requiring escalation</w:t>
            </w:r>
          </w:p>
        </w:tc>
      </w:tr>
    </w:tbl>
    <w:p w14:paraId="5FB4E34C" w14:textId="77777777" w:rsidR="00300699" w:rsidRDefault="00300699">
      <w:pPr>
        <w:spacing w:after="200"/>
      </w:pPr>
    </w:p>
    <w:p w14:paraId="3980C648" w14:textId="77777777" w:rsidR="00300699" w:rsidRDefault="00000000">
      <w:pPr>
        <w:spacing w:after="160"/>
        <w:jc w:val="both"/>
      </w:pPr>
      <w:r>
        <w:rPr>
          <w:color w:val="2C3E50"/>
        </w:rPr>
        <w:t>This decomposition is not static. As AI capabilities evolve, the boundary between AI-appropriate and human-appropriate tasks will shift. What requires human judgment today may be automatable tomorrow — but the meta-task of deciding where that boundary lies, and continuously reassessing it, will always be human work.</w:t>
      </w:r>
    </w:p>
    <w:p w14:paraId="1C4392AC" w14:textId="77777777" w:rsidR="00300699" w:rsidRDefault="00300699">
      <w:pPr>
        <w:spacing w:after="80"/>
      </w:pPr>
    </w:p>
    <w:p w14:paraId="675E9424" w14:textId="77777777" w:rsidR="00300699" w:rsidRDefault="00000000">
      <w:pPr>
        <w:pStyle w:val="Heading2"/>
      </w:pPr>
      <w:r>
        <w:t>2.2 Defining Measurable Human Control</w:t>
      </w:r>
    </w:p>
    <w:p w14:paraId="32662A1B" w14:textId="77777777" w:rsidR="00300699" w:rsidRDefault="00000000">
      <w:pPr>
        <w:spacing w:after="160"/>
        <w:jc w:val="both"/>
      </w:pPr>
      <w:r>
        <w:rPr>
          <w:color w:val="2C3E50"/>
        </w:rPr>
        <w:t>Organizations deploying AI in regulated or high-stakes environments should define, for each control point, a set of observable indicators that distinguish genuine oversight from nominal approval. These indicators might include:</w:t>
      </w:r>
    </w:p>
    <w:p w14:paraId="146A1F69" w14:textId="77777777" w:rsidR="00300699" w:rsidRPr="00D94C52" w:rsidRDefault="00000000">
      <w:pPr>
        <w:pStyle w:val="ListParagraph"/>
        <w:numPr>
          <w:ilvl w:val="0"/>
          <w:numId w:val="2"/>
        </w:numPr>
        <w:spacing w:after="100"/>
        <w:rPr>
          <w:highlight w:val="yellow"/>
        </w:rPr>
      </w:pPr>
      <w:r w:rsidRPr="00D94C52">
        <w:rPr>
          <w:color w:val="2C3E50"/>
          <w:highlight w:val="yellow"/>
        </w:rPr>
        <w:t>Time spent on review relative to document complexity (time-adjusted review rates)</w:t>
      </w:r>
    </w:p>
    <w:p w14:paraId="4643AB34" w14:textId="77777777" w:rsidR="00300699" w:rsidRPr="00D94C52" w:rsidRDefault="00000000">
      <w:pPr>
        <w:pStyle w:val="ListParagraph"/>
        <w:numPr>
          <w:ilvl w:val="0"/>
          <w:numId w:val="2"/>
        </w:numPr>
        <w:spacing w:after="100"/>
        <w:rPr>
          <w:highlight w:val="yellow"/>
        </w:rPr>
      </w:pPr>
      <w:r w:rsidRPr="00D94C52">
        <w:rPr>
          <w:color w:val="2C3E50"/>
          <w:highlight w:val="yellow"/>
        </w:rPr>
        <w:t>Rate of human corrections, overrides, or escalations as a proportion of AI recommendations reviewed</w:t>
      </w:r>
    </w:p>
    <w:p w14:paraId="2D0BBC3D" w14:textId="77777777" w:rsidR="00300699" w:rsidRPr="00D94C52" w:rsidRDefault="00000000">
      <w:pPr>
        <w:pStyle w:val="ListParagraph"/>
        <w:numPr>
          <w:ilvl w:val="0"/>
          <w:numId w:val="2"/>
        </w:numPr>
        <w:spacing w:after="100"/>
        <w:rPr>
          <w:highlight w:val="yellow"/>
        </w:rPr>
      </w:pPr>
      <w:r w:rsidRPr="00D94C52">
        <w:rPr>
          <w:color w:val="2C3E50"/>
          <w:highlight w:val="yellow"/>
        </w:rPr>
        <w:t>Consistency of human decisions over time and across reviewers (inter-rater reliability)</w:t>
      </w:r>
    </w:p>
    <w:p w14:paraId="36413B8A" w14:textId="77777777" w:rsidR="00300699" w:rsidRPr="00D94C52" w:rsidRDefault="00000000">
      <w:pPr>
        <w:pStyle w:val="ListParagraph"/>
        <w:numPr>
          <w:ilvl w:val="0"/>
          <w:numId w:val="2"/>
        </w:numPr>
        <w:spacing w:after="100"/>
        <w:rPr>
          <w:highlight w:val="yellow"/>
        </w:rPr>
      </w:pPr>
      <w:r w:rsidRPr="00D94C52">
        <w:rPr>
          <w:color w:val="2C3E50"/>
          <w:highlight w:val="yellow"/>
        </w:rPr>
        <w:t>Qualitative documentation of the reasoning applied at each control point</w:t>
      </w:r>
    </w:p>
    <w:p w14:paraId="7F95ECA1" w14:textId="77777777" w:rsidR="00300699" w:rsidRPr="00D94C52" w:rsidRDefault="00000000">
      <w:pPr>
        <w:pStyle w:val="ListParagraph"/>
        <w:numPr>
          <w:ilvl w:val="0"/>
          <w:numId w:val="2"/>
        </w:numPr>
        <w:spacing w:after="100"/>
        <w:rPr>
          <w:highlight w:val="yellow"/>
        </w:rPr>
      </w:pPr>
      <w:r w:rsidRPr="00D94C52">
        <w:rPr>
          <w:color w:val="2C3E50"/>
          <w:highlight w:val="yellow"/>
        </w:rPr>
        <w:t>Periodic challenge exercises in which known errors are introduced to assess detection rates</w:t>
      </w:r>
    </w:p>
    <w:p w14:paraId="35A3D1FA" w14:textId="77777777" w:rsidR="00300699" w:rsidRDefault="00300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1"/>
        <w:gridCol w:w="8159"/>
      </w:tblGrid>
      <w:tr w:rsidR="00300699" w14:paraId="410D0610" w14:textId="77777777">
        <w:tc>
          <w:tcPr>
            <w:tcW w:w="56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20" w:type="dxa"/>
              <w:bottom w:w="120" w:type="dxa"/>
              <w:right w:w="120" w:type="dxa"/>
            </w:tcMar>
            <w:vAlign w:val="center"/>
          </w:tcPr>
          <w:p w14:paraId="68BB3677" w14:textId="77777777" w:rsidR="00300699" w:rsidRDefault="00000000">
            <w:pPr>
              <w:jc w:val="center"/>
            </w:pPr>
            <w:r>
              <w:rPr>
                <w:b/>
                <w:bCs/>
                <w:color w:val="FFFFFF"/>
                <w:sz w:val="18"/>
                <w:szCs w:val="18"/>
              </w:rPr>
              <w:t>PRINCIPLE</w:t>
            </w:r>
          </w:p>
        </w:tc>
        <w:tc>
          <w:tcPr>
            <w:tcW w:w="8800" w:type="dxa"/>
            <w:tcBorders>
              <w:top w:val="single" w:sz="1" w:space="0" w:color="0B6E6E"/>
              <w:left w:val="single" w:sz="1" w:space="0" w:color="0B6E6E"/>
              <w:bottom w:val="single" w:sz="1" w:space="0" w:color="0B6E6E"/>
              <w:right w:val="single" w:sz="1" w:space="0" w:color="0B6E6E"/>
            </w:tcBorders>
            <w:shd w:val="clear" w:color="auto" w:fill="E6F4F4"/>
            <w:tcMar>
              <w:top w:w="120" w:type="dxa"/>
              <w:left w:w="200" w:type="dxa"/>
              <w:bottom w:w="120" w:type="dxa"/>
              <w:right w:w="200" w:type="dxa"/>
            </w:tcMar>
          </w:tcPr>
          <w:p w14:paraId="71255A7B" w14:textId="77777777" w:rsidR="00300699" w:rsidRDefault="00000000">
            <w:pPr>
              <w:jc w:val="both"/>
            </w:pPr>
            <w:r>
              <w:rPr>
                <w:i/>
                <w:iCs/>
                <w:color w:val="2C3E50"/>
                <w:sz w:val="21"/>
                <w:szCs w:val="21"/>
              </w:rPr>
              <w:t>If human control cannot be measured, it cannot be assured. Measurability is not bureaucracy — it is the difference between oversight and its appearance.</w:t>
            </w:r>
          </w:p>
        </w:tc>
      </w:tr>
    </w:tbl>
    <w:p w14:paraId="2BAE6483" w14:textId="77777777" w:rsidR="00300699" w:rsidRDefault="00300699">
      <w:pPr>
        <w:spacing w:after="160"/>
      </w:pPr>
    </w:p>
    <w:p w14:paraId="5C52C11E" w14:textId="77777777" w:rsidR="00300699" w:rsidRDefault="00000000">
      <w:pPr>
        <w:pStyle w:val="Heading2"/>
      </w:pPr>
      <w:r>
        <w:t>2.3 Traceable Human Decisions</w:t>
      </w:r>
    </w:p>
    <w:p w14:paraId="6DC77955" w14:textId="77777777" w:rsidR="00300699" w:rsidRDefault="00000000">
      <w:pPr>
        <w:spacing w:after="160"/>
        <w:jc w:val="both"/>
      </w:pPr>
      <w:r>
        <w:rPr>
          <w:color w:val="2C3E50"/>
        </w:rPr>
        <w:t>In regulated industries, the principle of traceability is foundational. Data integrity requirements demand that every action, decision, and change be attributed, timestamped, and auditable. Yet paradoxically, many AI-augmented workflows create elaborate audit trails for AI actions while leaving human decisions opaque.</w:t>
      </w:r>
    </w:p>
    <w:p w14:paraId="18869F21" w14:textId="77777777" w:rsidR="00300699" w:rsidRDefault="00000000">
      <w:pPr>
        <w:spacing w:after="160"/>
        <w:jc w:val="both"/>
      </w:pPr>
      <w:r>
        <w:rPr>
          <w:color w:val="2C3E50"/>
        </w:rPr>
        <w:t>A human who reviews an AI-generated output and approves it has made a decision. That decision — including what was considered, what was challenged, and what was accepted — should be as auditable as any other step in the process. This is not about surveillance or distrust. It is about institutional knowledge: understanding, over time, how human judgment is being applied, where it is adding value, and where the human-AI interface may need redesign.</w:t>
      </w:r>
    </w:p>
    <w:p w14:paraId="5429F9C4" w14:textId="73742F38" w:rsidR="00300699" w:rsidRDefault="00000000" w:rsidP="00D94C52">
      <w:pPr>
        <w:spacing w:after="160"/>
        <w:jc w:val="both"/>
      </w:pPr>
      <w:r>
        <w:rPr>
          <w:color w:val="2C3E50"/>
        </w:rPr>
        <w:lastRenderedPageBreak/>
        <w:t>Traceable human decisions also serve a forward-looking function. They create a corpus of documented human reasoning that can, eventually, inform AI training — creating a virtuous cycle in which human expertise shapes AI improvement rather than being replaced by it.</w:t>
      </w:r>
    </w:p>
    <w:p w14:paraId="695FAEA4" w14:textId="77777777" w:rsidR="00300699" w:rsidRDefault="00000000">
      <w:pPr>
        <w:pStyle w:val="Heading1"/>
        <w:pBdr>
          <w:bottom w:val="single" w:sz="6" w:space="0" w:color="0B6E6E"/>
        </w:pBdr>
      </w:pPr>
      <w:r>
        <w:t>3. What AI Cannot Know: The Irreducible Human Contribution</w:t>
      </w:r>
    </w:p>
    <w:p w14:paraId="16BBACA3" w14:textId="77777777" w:rsidR="00300699" w:rsidRDefault="00000000">
      <w:pPr>
        <w:pStyle w:val="Heading2"/>
      </w:pPr>
      <w:r>
        <w:t>3.1 AI as a New Form of Knowledge — and Its Limits</w:t>
      </w:r>
    </w:p>
    <w:p w14:paraId="38DAA1A3" w14:textId="77777777" w:rsidR="00300699" w:rsidRDefault="00000000">
      <w:pPr>
        <w:spacing w:after="160"/>
        <w:jc w:val="both"/>
      </w:pPr>
      <w:r>
        <w:rPr>
          <w:color w:val="2C3E50"/>
        </w:rPr>
        <w:t>Artificial intelligence represents a genuinely new form of knowledge — one that is vast, fast, consistent, and increasingly capable of sophisticated reasoning within well-defined domains. It is not trivial to acknowledge this. The knowledge embedded in large language models and specialized AI systems constitutes an unprecedented aggregation of human-generated information, and its accessibility is transforming what individuals and organizations can do.</w:t>
      </w:r>
    </w:p>
    <w:p w14:paraId="3677BB70" w14:textId="77777777" w:rsidR="00300699" w:rsidRDefault="00000000">
      <w:pPr>
        <w:spacing w:after="160"/>
        <w:jc w:val="both"/>
      </w:pPr>
      <w:commentRangeStart w:id="2"/>
      <w:r w:rsidRPr="00D94C52">
        <w:rPr>
          <w:color w:val="2C3E50"/>
          <w:highlight w:val="yellow"/>
        </w:rPr>
        <w:t>But AI knows the world as text. As patterns. As statistical regularities in the representation of human experience. It does not know the world as a lived, embodied, socially situated phenomenon. And this distinction matters enormously in any domain where the gap between the text of a process and the reality of that process is the very thing that professional judgment is asked to navigate.</w:t>
      </w:r>
      <w:commentRangeEnd w:id="2"/>
      <w:r w:rsidR="005239D8">
        <w:rPr>
          <w:rStyle w:val="CommentReference"/>
          <w:sz w:val="22"/>
          <w:szCs w:val="22"/>
        </w:rPr>
        <w:commentReference w:id="2"/>
      </w:r>
    </w:p>
    <w:p w14:paraId="2A5E8DA2" w14:textId="77777777" w:rsidR="00300699" w:rsidRDefault="00300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00699" w14:paraId="3BF0F88E" w14:textId="77777777">
        <w:tc>
          <w:tcPr>
            <w:tcW w:w="9360" w:type="dxa"/>
            <w:tcBorders>
              <w:top w:val="single" w:sz="1" w:space="0" w:color="C5D0DC"/>
              <w:left w:val="single" w:sz="1" w:space="0" w:color="C5D0DC"/>
              <w:bottom w:val="single" w:sz="1" w:space="0" w:color="C5D0DC"/>
              <w:right w:val="single" w:sz="1" w:space="0" w:color="C5D0DC"/>
            </w:tcBorders>
            <w:shd w:val="clear" w:color="auto" w:fill="E6F4F4"/>
            <w:tcMar>
              <w:top w:w="160" w:type="dxa"/>
              <w:left w:w="240" w:type="dxa"/>
              <w:bottom w:w="160" w:type="dxa"/>
              <w:right w:w="240" w:type="dxa"/>
            </w:tcMar>
          </w:tcPr>
          <w:p w14:paraId="086C4072" w14:textId="77777777" w:rsidR="00300699" w:rsidRDefault="00000000">
            <w:pPr>
              <w:jc w:val="both"/>
            </w:pPr>
            <w:r>
              <w:rPr>
                <w:i/>
                <w:iCs/>
                <w:color w:val="1A2B4A"/>
              </w:rPr>
              <w:t>An AI can learn every published guideline on informed consent. It cannot know what it looks like when a patient is nodding but not understanding. That knowing lives in a different register entirely — and it is one that human professionals in regulated industries carry, often without fully articulating it.</w:t>
            </w:r>
          </w:p>
        </w:tc>
      </w:tr>
    </w:tbl>
    <w:p w14:paraId="267C40B2" w14:textId="77777777" w:rsidR="00300699" w:rsidRDefault="00300699">
      <w:pPr>
        <w:spacing w:after="160"/>
      </w:pPr>
    </w:p>
    <w:p w14:paraId="07CAAFBB" w14:textId="77777777" w:rsidR="00300699" w:rsidRDefault="00000000">
      <w:pPr>
        <w:pStyle w:val="Heading2"/>
      </w:pPr>
      <w:r>
        <w:t>3.2 Reading Between the Lines: Contextual Intelligence</w:t>
      </w:r>
    </w:p>
    <w:p w14:paraId="05C43BDB" w14:textId="77777777" w:rsidR="00300699" w:rsidRDefault="00000000">
      <w:pPr>
        <w:spacing w:after="160"/>
        <w:jc w:val="both"/>
      </w:pPr>
      <w:r>
        <w:rPr>
          <w:color w:val="2C3E50"/>
        </w:rPr>
        <w:t xml:space="preserve">One of the most underappreciated human competencies in complex professional environments is what might be called </w:t>
      </w:r>
      <w:commentRangeStart w:id="3"/>
      <w:r w:rsidRPr="00D94C52">
        <w:rPr>
          <w:color w:val="2C3E50"/>
          <w:highlight w:val="yellow"/>
        </w:rPr>
        <w:t>contextual intelligence: the capacity to read a situation — a document, a meeting, a dataset, a relationship — in light of everything else that is known, implied, or sensed about the surrounding context</w:t>
      </w:r>
      <w:r>
        <w:rPr>
          <w:color w:val="2C3E50"/>
        </w:rPr>
        <w:t>.</w:t>
      </w:r>
      <w:commentRangeEnd w:id="3"/>
      <w:r w:rsidR="005239D8">
        <w:rPr>
          <w:rStyle w:val="CommentReference"/>
          <w:sz w:val="22"/>
          <w:szCs w:val="22"/>
        </w:rPr>
        <w:commentReference w:id="3"/>
      </w:r>
    </w:p>
    <w:p w14:paraId="5438E665" w14:textId="44C4111E" w:rsidR="00300699" w:rsidRDefault="00000000">
      <w:pPr>
        <w:spacing w:after="160"/>
        <w:jc w:val="both"/>
      </w:pPr>
      <w:r>
        <w:rPr>
          <w:color w:val="2C3E50"/>
        </w:rPr>
        <w:t xml:space="preserve">A seasoned clinical research professional </w:t>
      </w:r>
      <w:r w:rsidR="00D94C52">
        <w:rPr>
          <w:color w:val="2C3E50"/>
        </w:rPr>
        <w:t>checking</w:t>
      </w:r>
      <w:r>
        <w:rPr>
          <w:color w:val="2C3E50"/>
        </w:rPr>
        <w:t xml:space="preserve"> a trial master file does not merely assess whether each document is present and complete. They notice the texture of the documentation: whether the monitoring visit reports feel like they were written by someone who was actually present; whether the pattern of protocol deviations suggests a systemic issue at a specific site; whether the tone of investigator correspondence hints at a relationship that may need attention. None of this is stated. All of it is real.</w:t>
      </w:r>
    </w:p>
    <w:p w14:paraId="25EBA67B" w14:textId="77777777" w:rsidR="00300699" w:rsidRDefault="00000000">
      <w:pPr>
        <w:spacing w:after="160"/>
        <w:jc w:val="both"/>
        <w:rPr>
          <w:color w:val="2C3E50"/>
        </w:rPr>
      </w:pPr>
      <w:r w:rsidRPr="00D94C52">
        <w:rPr>
          <w:color w:val="2C3E50"/>
          <w:highlight w:val="yellow"/>
        </w:rPr>
        <w:t>AI cannot read between the lines because it has no lines — only tokens</w:t>
      </w:r>
      <w:r>
        <w:rPr>
          <w:color w:val="2C3E50"/>
        </w:rPr>
        <w:t>. It has no experiential memory of what poorly monitored sites look like, no embodied sense of when something feels wrong before it can be articulated, no professional intuition built from years of inspection experience. These capacities are not mystical. They are the product of sustained, reflective engagement with a domain — and they represent one of the most enduring sources of human value in AI-augmented environments.</w:t>
      </w:r>
    </w:p>
    <w:p w14:paraId="6F6687F4" w14:textId="77777777" w:rsidR="00D94C52" w:rsidRDefault="00D94C52">
      <w:pPr>
        <w:spacing w:after="160"/>
        <w:jc w:val="both"/>
      </w:pPr>
    </w:p>
    <w:p w14:paraId="5C5E84D7" w14:textId="77777777" w:rsidR="00300699" w:rsidRDefault="00300699">
      <w:pPr>
        <w:spacing w:after="80"/>
      </w:pPr>
    </w:p>
    <w:p w14:paraId="311B02E0" w14:textId="77777777" w:rsidR="00300699" w:rsidRDefault="00000000">
      <w:pPr>
        <w:pStyle w:val="Heading2"/>
      </w:pPr>
      <w:r>
        <w:lastRenderedPageBreak/>
        <w:t>3.3 The Three Registers of Human Knowing</w:t>
      </w:r>
    </w:p>
    <w:p w14:paraId="744A0BE3" w14:textId="77777777" w:rsidR="00300699" w:rsidRDefault="00000000">
      <w:pPr>
        <w:spacing w:after="160"/>
        <w:jc w:val="both"/>
      </w:pPr>
      <w:r>
        <w:rPr>
          <w:color w:val="2C3E50"/>
        </w:rPr>
        <w:t>To understand what humans bring to AI collaboration that AI cannot supply, it is useful to distinguish three registers of human knowing:</w:t>
      </w:r>
    </w:p>
    <w:p w14:paraId="57B6EC5D" w14:textId="77777777" w:rsidR="00300699" w:rsidRDefault="00300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00699" w14:paraId="0FD976E2" w14:textId="77777777">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1F969104" w14:textId="77777777" w:rsidR="00300699" w:rsidRDefault="00000000">
            <w:r>
              <w:rPr>
                <w:b/>
                <w:bCs/>
                <w:color w:val="FFFFFF"/>
              </w:rPr>
              <w:t>Register</w:t>
            </w:r>
          </w:p>
        </w:tc>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6E460923" w14:textId="77777777" w:rsidR="00300699" w:rsidRDefault="00000000">
            <w:r>
              <w:rPr>
                <w:b/>
                <w:bCs/>
                <w:color w:val="FFFFFF"/>
              </w:rPr>
              <w:t>Description &amp; AI Capability</w:t>
            </w:r>
          </w:p>
        </w:tc>
      </w:tr>
      <w:tr w:rsidR="00300699" w14:paraId="03954DCE"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4B2769F" w14:textId="77777777" w:rsidR="00300699" w:rsidRPr="00D94C52" w:rsidRDefault="00000000">
            <w:pPr>
              <w:rPr>
                <w:highlight w:val="yellow"/>
              </w:rPr>
            </w:pPr>
            <w:r w:rsidRPr="00D94C52">
              <w:rPr>
                <w:b/>
                <w:bCs/>
                <w:color w:val="1A2B4A"/>
                <w:sz w:val="21"/>
                <w:szCs w:val="21"/>
                <w:highlight w:val="yellow"/>
              </w:rPr>
              <w:t>Explicit Knowledge</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6D7D8647" w14:textId="77777777" w:rsidR="00300699" w:rsidRDefault="00000000">
            <w:r>
              <w:rPr>
                <w:color w:val="2C3E50"/>
                <w:sz w:val="21"/>
                <w:szCs w:val="21"/>
              </w:rPr>
              <w:t>Formal, articulable information — guidelines, regulations, procedures. AI excels here and may surpass most humans in breadth and recall.</w:t>
            </w:r>
          </w:p>
        </w:tc>
      </w:tr>
      <w:tr w:rsidR="00300699" w14:paraId="4EE8EC1E" w14:textId="77777777">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11D67CA1" w14:textId="77777777" w:rsidR="00300699" w:rsidRPr="00D94C52" w:rsidRDefault="00000000">
            <w:pPr>
              <w:rPr>
                <w:highlight w:val="yellow"/>
              </w:rPr>
            </w:pPr>
            <w:r w:rsidRPr="00D94C52">
              <w:rPr>
                <w:b/>
                <w:bCs/>
                <w:color w:val="1A2B4A"/>
                <w:sz w:val="21"/>
                <w:szCs w:val="21"/>
                <w:highlight w:val="yellow"/>
              </w:rPr>
              <w:t>Tacit Knowledge</w:t>
            </w:r>
          </w:p>
        </w:tc>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6C77E714" w14:textId="77777777" w:rsidR="00300699" w:rsidRDefault="00000000">
            <w:r>
              <w:rPr>
                <w:color w:val="2C3E50"/>
                <w:sz w:val="21"/>
                <w:szCs w:val="21"/>
              </w:rPr>
              <w:t>Embodied, experiential knowing — the feel of a well-run trial, the instinct that a site is struggling, the professional judgment that a finding is significant. AI cannot access this; it can only approximate its outputs.</w:t>
            </w:r>
          </w:p>
        </w:tc>
      </w:tr>
      <w:tr w:rsidR="00300699" w14:paraId="6FA4DE4B"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58B70C7F" w14:textId="77777777" w:rsidR="00300699" w:rsidRPr="00D94C52" w:rsidRDefault="00000000">
            <w:pPr>
              <w:rPr>
                <w:highlight w:val="yellow"/>
              </w:rPr>
            </w:pPr>
            <w:r w:rsidRPr="00D94C52">
              <w:rPr>
                <w:b/>
                <w:bCs/>
                <w:color w:val="1A2B4A"/>
                <w:sz w:val="21"/>
                <w:szCs w:val="21"/>
                <w:highlight w:val="yellow"/>
              </w:rPr>
              <w:t>Relational Knowledge</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01673690" w14:textId="77777777" w:rsidR="00300699" w:rsidRDefault="00000000">
            <w:r>
              <w:rPr>
                <w:color w:val="2C3E50"/>
                <w:sz w:val="21"/>
                <w:szCs w:val="21"/>
              </w:rPr>
              <w:t>Understanding of people, organizations, power dynamics, trust, and motivation. How this sponsor typically responds to findings. What this investigator means when they say they will address something. AI is blind to this dimension.</w:t>
            </w:r>
          </w:p>
        </w:tc>
      </w:tr>
    </w:tbl>
    <w:p w14:paraId="22F0D4FE" w14:textId="77777777" w:rsidR="00300699" w:rsidRDefault="00300699">
      <w:pPr>
        <w:spacing w:after="200"/>
      </w:pPr>
    </w:p>
    <w:p w14:paraId="0C27C8F4" w14:textId="77777777" w:rsidR="00300699" w:rsidRDefault="00000000">
      <w:pPr>
        <w:spacing w:after="160"/>
        <w:jc w:val="both"/>
      </w:pPr>
      <w:r>
        <w:rPr>
          <w:color w:val="2C3E50"/>
        </w:rPr>
        <w:t>The future of human value in AI-assisted work lies disproportionately in the second and third registers — the ones that AI is structurally least positioned to replicate. This has profound implications for how we think about professional development, hiring, and the skills we choose to cultivate.</w:t>
      </w:r>
    </w:p>
    <w:p w14:paraId="6D54E05A" w14:textId="77777777" w:rsidR="00300699" w:rsidRDefault="00300699">
      <w:pPr>
        <w:spacing w:after="160"/>
      </w:pPr>
    </w:p>
    <w:p w14:paraId="6C2FC0DF" w14:textId="77777777" w:rsidR="00300699" w:rsidRDefault="00000000">
      <w:pPr>
        <w:pStyle w:val="Heading1"/>
        <w:pBdr>
          <w:bottom w:val="single" w:sz="6" w:space="0" w:color="0B6E6E"/>
        </w:pBdr>
      </w:pPr>
      <w:r>
        <w:t>4. The New Human Skills: What the AI Era Demands</w:t>
      </w:r>
    </w:p>
    <w:p w14:paraId="7F0725AA" w14:textId="77777777" w:rsidR="00300699" w:rsidRDefault="00000000">
      <w:pPr>
        <w:pStyle w:val="Heading2"/>
      </w:pPr>
      <w:r>
        <w:t>4.1 The Paradox of Soft Skills</w:t>
      </w:r>
    </w:p>
    <w:p w14:paraId="503CF84C" w14:textId="77777777" w:rsidR="00300699" w:rsidRDefault="00000000">
      <w:pPr>
        <w:spacing w:after="160"/>
        <w:jc w:val="both"/>
      </w:pPr>
      <w:r>
        <w:rPr>
          <w:color w:val="2C3E50"/>
        </w:rPr>
        <w:t>For decades, the dominant narrative of professional development in knowledge industries was: acquire technical expertise. Master the regulations. Learn the systems. Build domain knowledge. Soft skills — communication, judgment, empathy, facilitation — were acknowledged but rarely treated as a primary professional investment.</w:t>
      </w:r>
    </w:p>
    <w:p w14:paraId="4E0E5A18" w14:textId="77777777" w:rsidR="00300699" w:rsidRDefault="00000000">
      <w:pPr>
        <w:spacing w:after="160"/>
        <w:jc w:val="both"/>
      </w:pPr>
      <w:r>
        <w:rPr>
          <w:color w:val="2C3E50"/>
        </w:rPr>
        <w:t xml:space="preserve">AI inverts this hierarchy. The technical knowledge that professionals spent years accumulating is increasingly available on demand. </w:t>
      </w:r>
      <w:r w:rsidRPr="00D94C52">
        <w:rPr>
          <w:color w:val="2C3E50"/>
          <w:highlight w:val="yellow"/>
        </w:rPr>
        <w:t>The skills that AI cannot replicate — nuanced communication, ethical reasoning, cross-functional collaboration, the ability to navigate ambiguity without losing sight of what matters — are precisely the skills that will define human professional value in an AI-augmented world.</w:t>
      </w:r>
    </w:p>
    <w:p w14:paraId="17A3266F" w14:textId="77777777" w:rsidR="00300699" w:rsidRDefault="00000000">
      <w:pPr>
        <w:spacing w:after="160"/>
        <w:jc w:val="both"/>
      </w:pPr>
      <w:r>
        <w:rPr>
          <w:color w:val="2C3E50"/>
        </w:rPr>
        <w:t>This is not to say that domain expertise becomes irrelevant. On the contrary: deep domain expertise becomes more valuable, not less — but its value lies increasingly in providing the contextual framework within which AI outputs are interpreted, challenged, and applied, rather than in the production of those outputs themselves.</w:t>
      </w:r>
    </w:p>
    <w:p w14:paraId="69063063" w14:textId="77777777" w:rsidR="00300699" w:rsidRDefault="00300699">
      <w:pPr>
        <w:spacing w:after="80"/>
      </w:pPr>
    </w:p>
    <w:p w14:paraId="2D7B2B6B" w14:textId="77777777" w:rsidR="00300699" w:rsidRDefault="00000000">
      <w:pPr>
        <w:pStyle w:val="Heading2"/>
      </w:pPr>
      <w:r>
        <w:lastRenderedPageBreak/>
        <w:t>4.2 Critical Skills for Human-AI Collaboration</w:t>
      </w:r>
    </w:p>
    <w:p w14:paraId="693D7F76" w14:textId="77777777" w:rsidR="00300699" w:rsidRDefault="00000000">
      <w:pPr>
        <w:pStyle w:val="Heading3"/>
      </w:pPr>
      <w:r>
        <w:t>Prompt Architecture and AI Communication</w:t>
      </w:r>
    </w:p>
    <w:p w14:paraId="774FB8AA" w14:textId="77777777" w:rsidR="00300699" w:rsidRDefault="00000000">
      <w:pPr>
        <w:spacing w:after="160"/>
        <w:jc w:val="both"/>
      </w:pPr>
      <w:r>
        <w:rPr>
          <w:color w:val="2C3E50"/>
        </w:rPr>
        <w:t>The ability to communicate effectively with AI systems — to frame questions that elicit genuinely useful responses, to recognize when an AI output is confidently wrong, to design workflows that play to AI strengths while compensating for its weaknesses — is rapidly becoming a foundational professional competency. This is not a technical skill in the traditional sense. It requires domain expertise, linguistic precision, and an understanding of how AI systems process and represent knowledge.</w:t>
      </w:r>
    </w:p>
    <w:p w14:paraId="486C5A0D" w14:textId="77777777" w:rsidR="00300699" w:rsidRDefault="00000000">
      <w:pPr>
        <w:pStyle w:val="Heading3"/>
      </w:pPr>
      <w:r>
        <w:t>Epistemic Humility and Calibrated Trust</w:t>
      </w:r>
    </w:p>
    <w:p w14:paraId="7FC78E25" w14:textId="77777777" w:rsidR="00300699" w:rsidRDefault="00000000">
      <w:pPr>
        <w:spacing w:after="160"/>
        <w:jc w:val="both"/>
      </w:pPr>
      <w:r>
        <w:rPr>
          <w:color w:val="2C3E50"/>
        </w:rPr>
        <w:t>Working effectively with AI requires a finely calibrated sense of when to trust and when to question. Over-trust leads to automation bias; under-trust wastes the genuine value AI provides. Developing this calibration — knowing, in a given context, where AI is likely to be reliable and where it is likely to err — is a skill that requires sustained reflective practice and cannot be acquired from a training module.</w:t>
      </w:r>
    </w:p>
    <w:p w14:paraId="25A51116" w14:textId="77777777" w:rsidR="00300699" w:rsidRDefault="00000000">
      <w:pPr>
        <w:pStyle w:val="Heading3"/>
      </w:pPr>
      <w:r>
        <w:t>Contextual Synthesis</w:t>
      </w:r>
    </w:p>
    <w:p w14:paraId="488D4558" w14:textId="77777777" w:rsidR="00300699" w:rsidRDefault="00000000">
      <w:pPr>
        <w:spacing w:after="160"/>
        <w:jc w:val="both"/>
      </w:pPr>
      <w:r>
        <w:rPr>
          <w:color w:val="2C3E50"/>
        </w:rPr>
        <w:t>As AI becomes proficient at generating summaries, analyses, and recommendations, the human value-add increasingly lies in synthesis: taking AI outputs and integrating them with organizational context, relational knowledge, regulatory history, and professional judgment to produce something genuinely useful. This is an active, creative cognitive process — not a passive review.</w:t>
      </w:r>
    </w:p>
    <w:p w14:paraId="6EAA1E54" w14:textId="77777777" w:rsidR="00300699" w:rsidRDefault="00000000">
      <w:pPr>
        <w:pStyle w:val="Heading3"/>
      </w:pPr>
      <w:r>
        <w:t>Ethical Reasoning and Accountability</w:t>
      </w:r>
    </w:p>
    <w:p w14:paraId="0F5A62CC" w14:textId="77777777" w:rsidR="00300699" w:rsidRDefault="00000000">
      <w:pPr>
        <w:spacing w:after="160"/>
        <w:jc w:val="both"/>
      </w:pPr>
      <w:r>
        <w:rPr>
          <w:color w:val="2C3E50"/>
        </w:rPr>
        <w:t>AI systems optimize for objectives. They do not care about accountability, fairness, dignity, or the long-term consequences of decisions that are locally optimal but systemically harmful. The ability to recognize when an AI recommendation, though technically correct, is ethically problematic — and to act on that recognition — is an irreducibly human competency that becomes more important as AI is given more decision authority.</w:t>
      </w:r>
    </w:p>
    <w:p w14:paraId="198CDD57" w14:textId="77777777" w:rsidR="00300699" w:rsidRDefault="00000000">
      <w:pPr>
        <w:pStyle w:val="Heading3"/>
      </w:pPr>
      <w:r>
        <w:t>Facilitation and Conflict Navigation</w:t>
      </w:r>
    </w:p>
    <w:p w14:paraId="4C14130B" w14:textId="77777777" w:rsidR="00300699" w:rsidRDefault="00000000">
      <w:pPr>
        <w:spacing w:after="160"/>
        <w:jc w:val="both"/>
      </w:pPr>
      <w:r>
        <w:rPr>
          <w:color w:val="2C3E50"/>
        </w:rPr>
        <w:t>In organizations where AI is generating recommendations, surfacing risks, and flagging anomalies, humans are increasingly called upon to facilitate the human conversations that those AI outputs necessitate. Who owns this finding? Whose judgment prevails when AI and expert disagree? How do we communicate an AI-flagged risk to a sponsor without creating panic? These are relational and communicative challenges that require specifically human skills.</w:t>
      </w:r>
    </w:p>
    <w:p w14:paraId="392B6EEE" w14:textId="77777777" w:rsidR="00300699" w:rsidRDefault="00300699">
      <w:pPr>
        <w:spacing w:after="120"/>
      </w:pPr>
    </w:p>
    <w:p w14:paraId="524B6372" w14:textId="77777777" w:rsidR="00300699" w:rsidRDefault="00000000">
      <w:pPr>
        <w:pStyle w:val="Heading2"/>
      </w:pPr>
      <w:r>
        <w:t>4.3 Developing Human Skills in an AI-Rich Environment</w:t>
      </w:r>
    </w:p>
    <w:p w14:paraId="3132F517" w14:textId="77777777" w:rsidR="00300699" w:rsidRDefault="00000000">
      <w:pPr>
        <w:spacing w:after="160"/>
        <w:jc w:val="both"/>
      </w:pPr>
      <w:r>
        <w:rPr>
          <w:color w:val="2C3E50"/>
        </w:rPr>
        <w:t>Organizations that are investing seriously in AI deployment must make a parallel investment in the development of the human skills that make AI deployment safe and valuable. This means:</w:t>
      </w:r>
    </w:p>
    <w:p w14:paraId="0AF143AF" w14:textId="77777777" w:rsidR="00300699" w:rsidRDefault="00000000">
      <w:pPr>
        <w:pStyle w:val="ListParagraph"/>
        <w:numPr>
          <w:ilvl w:val="0"/>
          <w:numId w:val="2"/>
        </w:numPr>
        <w:spacing w:after="100"/>
      </w:pPr>
      <w:r>
        <w:rPr>
          <w:color w:val="2C3E50"/>
        </w:rPr>
        <w:t>Designing training programs that develop judgment, not just competency — exposing professionals to ambiguous cases, edge cases, and intentional errors to build the calibration that genuine oversight requires</w:t>
      </w:r>
    </w:p>
    <w:p w14:paraId="64BE3942" w14:textId="77777777" w:rsidR="00300699" w:rsidRDefault="00000000">
      <w:pPr>
        <w:pStyle w:val="ListParagraph"/>
        <w:numPr>
          <w:ilvl w:val="0"/>
          <w:numId w:val="2"/>
        </w:numPr>
        <w:spacing w:after="100"/>
      </w:pPr>
      <w:r>
        <w:rPr>
          <w:color w:val="2C3E50"/>
        </w:rPr>
        <w:t>Creating structured reflection practices that help professionals articulate and develop their tacit knowledge rather than allowing it to atrophy through disuse</w:t>
      </w:r>
    </w:p>
    <w:p w14:paraId="70A78B04" w14:textId="77777777" w:rsidR="00300699" w:rsidRDefault="00000000">
      <w:pPr>
        <w:pStyle w:val="ListParagraph"/>
        <w:numPr>
          <w:ilvl w:val="0"/>
          <w:numId w:val="2"/>
        </w:numPr>
        <w:spacing w:after="100"/>
      </w:pPr>
      <w:r>
        <w:rPr>
          <w:color w:val="2C3E50"/>
        </w:rPr>
        <w:lastRenderedPageBreak/>
        <w:t>Rewarding the exercise of genuine human judgment — including cases where a human overrides an AI recommendation correctly — rather than treating AI agreement as a proxy for quality</w:t>
      </w:r>
    </w:p>
    <w:p w14:paraId="668D03D3" w14:textId="77777777" w:rsidR="00300699" w:rsidRDefault="00000000">
      <w:pPr>
        <w:pStyle w:val="ListParagraph"/>
        <w:numPr>
          <w:ilvl w:val="0"/>
          <w:numId w:val="2"/>
        </w:numPr>
        <w:spacing w:after="100"/>
      </w:pPr>
      <w:r>
        <w:rPr>
          <w:color w:val="2C3E50"/>
        </w:rPr>
        <w:t>Building mentorship and knowledge transfer programs that treat experienced professionals not as legacy resources to be replaced, but as repositories of the tacit and relational knowledge that gives AI outputs meaning</w:t>
      </w:r>
    </w:p>
    <w:p w14:paraId="4AD89ABB" w14:textId="77777777" w:rsidR="00300699" w:rsidRDefault="00300699">
      <w:pPr>
        <w:spacing w:after="160"/>
      </w:pPr>
    </w:p>
    <w:p w14:paraId="72B4D30B" w14:textId="77777777" w:rsidR="00300699" w:rsidRDefault="00000000">
      <w:pPr>
        <w:pStyle w:val="Heading1"/>
        <w:pBdr>
          <w:bottom w:val="single" w:sz="6" w:space="0" w:color="0B6E6E"/>
        </w:pBdr>
      </w:pPr>
      <w:r>
        <w:t>5. A Framework for Genuine Human-AI Partnership</w:t>
      </w:r>
    </w:p>
    <w:p w14:paraId="1E114868" w14:textId="77777777" w:rsidR="00300699" w:rsidRDefault="00000000">
      <w:pPr>
        <w:pStyle w:val="Heading2"/>
      </w:pPr>
      <w:r>
        <w:t>5.1 The TRACE Framework</w:t>
      </w:r>
    </w:p>
    <w:p w14:paraId="1813778E" w14:textId="77777777" w:rsidR="00300699" w:rsidRDefault="00000000">
      <w:pPr>
        <w:spacing w:after="160"/>
        <w:jc w:val="both"/>
      </w:pPr>
      <w:r>
        <w:rPr>
          <w:color w:val="2C3E50"/>
        </w:rPr>
        <w:t xml:space="preserve">Based on the analysis in the preceding sections, we propose a practical framework for organizations seeking to move beyond the HITL illusion toward genuine human-AI partnership. </w:t>
      </w:r>
      <w:r w:rsidRPr="0031527F">
        <w:rPr>
          <w:color w:val="2C3E50"/>
          <w:highlight w:val="yellow"/>
        </w:rPr>
        <w:t>The TRACE Framework defines five conditions for meaningful human involvement in AI-assisted processes</w:t>
      </w:r>
      <w:r>
        <w:rPr>
          <w:color w:val="2C3E50"/>
        </w:rPr>
        <w:t>:</w:t>
      </w:r>
    </w:p>
    <w:p w14:paraId="3DDE37C9" w14:textId="77777777" w:rsidR="00300699" w:rsidRDefault="00300699">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300699" w14:paraId="40CBFE94" w14:textId="77777777">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110EF283" w14:textId="77777777" w:rsidR="00300699" w:rsidRDefault="00000000">
            <w:r>
              <w:rPr>
                <w:b/>
                <w:bCs/>
                <w:color w:val="FFFFFF"/>
              </w:rPr>
              <w:t>Component</w:t>
            </w:r>
          </w:p>
        </w:tc>
        <w:tc>
          <w:tcPr>
            <w:tcW w:w="4680" w:type="dxa"/>
            <w:tcBorders>
              <w:top w:val="single" w:sz="1" w:space="0" w:color="0B6E6E"/>
              <w:left w:val="single" w:sz="1" w:space="0" w:color="0B6E6E"/>
              <w:bottom w:val="single" w:sz="1" w:space="0" w:color="0B6E6E"/>
              <w:right w:val="single" w:sz="1" w:space="0" w:color="0B6E6E"/>
            </w:tcBorders>
            <w:shd w:val="clear" w:color="auto" w:fill="0B6E6E"/>
            <w:tcMar>
              <w:top w:w="120" w:type="dxa"/>
              <w:left w:w="160" w:type="dxa"/>
              <w:bottom w:w="120" w:type="dxa"/>
              <w:right w:w="160" w:type="dxa"/>
            </w:tcMar>
          </w:tcPr>
          <w:p w14:paraId="057A52ED" w14:textId="77777777" w:rsidR="00300699" w:rsidRDefault="00000000">
            <w:r>
              <w:rPr>
                <w:b/>
                <w:bCs/>
                <w:color w:val="FFFFFF"/>
              </w:rPr>
              <w:t>Description</w:t>
            </w:r>
          </w:p>
        </w:tc>
      </w:tr>
      <w:tr w:rsidR="00300699" w14:paraId="27A09370"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6CF23B3F" w14:textId="77777777" w:rsidR="00300699" w:rsidRDefault="00000000">
            <w:r>
              <w:rPr>
                <w:b/>
                <w:bCs/>
                <w:color w:val="1A2B4A"/>
                <w:sz w:val="21"/>
                <w:szCs w:val="21"/>
              </w:rPr>
              <w:t>T — Task Decomposition</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3D7C4AB" w14:textId="77777777" w:rsidR="00300699" w:rsidRDefault="00000000">
            <w:r>
              <w:rPr>
                <w:color w:val="2C3E50"/>
                <w:sz w:val="21"/>
                <w:szCs w:val="21"/>
              </w:rPr>
              <w:t>Every human-AI workflow is explicitly mapped, with each step allocated to human or AI based on a principled assessment of which intelligence type is required.</w:t>
            </w:r>
          </w:p>
        </w:tc>
      </w:tr>
      <w:tr w:rsidR="00300699" w14:paraId="7E73E99F" w14:textId="77777777">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5644F5D2" w14:textId="77777777" w:rsidR="00300699" w:rsidRDefault="00000000">
            <w:r>
              <w:rPr>
                <w:b/>
                <w:bCs/>
                <w:color w:val="1A2B4A"/>
                <w:sz w:val="21"/>
                <w:szCs w:val="21"/>
              </w:rPr>
              <w:t>R — Role Clarity</w:t>
            </w:r>
          </w:p>
        </w:tc>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2E9753BB" w14:textId="77777777" w:rsidR="00300699" w:rsidRDefault="00000000">
            <w:r>
              <w:rPr>
                <w:color w:val="2C3E50"/>
                <w:sz w:val="21"/>
                <w:szCs w:val="21"/>
              </w:rPr>
              <w:t>Every human in the workflow has a defined role that specifies what judgment they are expected to exercise, what qualifications that judgment requires, and what they are accountable for.</w:t>
            </w:r>
          </w:p>
        </w:tc>
      </w:tr>
      <w:tr w:rsidR="00300699" w14:paraId="4DFB0E76"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3FD67DE9" w14:textId="77777777" w:rsidR="00300699" w:rsidRDefault="00000000">
            <w:r>
              <w:rPr>
                <w:b/>
                <w:bCs/>
                <w:color w:val="1A2B4A"/>
                <w:sz w:val="21"/>
                <w:szCs w:val="21"/>
              </w:rPr>
              <w:t>A — Accountability Traceability</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2A924F2" w14:textId="77777777" w:rsidR="00300699" w:rsidRDefault="00000000">
            <w:r>
              <w:rPr>
                <w:color w:val="2C3E50"/>
                <w:sz w:val="21"/>
                <w:szCs w:val="21"/>
              </w:rPr>
              <w:t>Human decisions are recorded with sufficient detail to distinguish genuine judgment from passive approval — including the reasoning applied and alternatives considered.</w:t>
            </w:r>
          </w:p>
        </w:tc>
      </w:tr>
      <w:tr w:rsidR="00300699" w14:paraId="179F6CDF" w14:textId="77777777">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3366A7B3" w14:textId="77777777" w:rsidR="00300699" w:rsidRDefault="00000000">
            <w:r>
              <w:rPr>
                <w:b/>
                <w:bCs/>
                <w:color w:val="1A2B4A"/>
                <w:sz w:val="21"/>
                <w:szCs w:val="21"/>
              </w:rPr>
              <w:t>C — Calibration Practice</w:t>
            </w:r>
          </w:p>
        </w:tc>
        <w:tc>
          <w:tcPr>
            <w:tcW w:w="4680" w:type="dxa"/>
            <w:tcBorders>
              <w:top w:val="single" w:sz="1" w:space="0" w:color="C5D0DC"/>
              <w:left w:val="single" w:sz="1" w:space="0" w:color="C5D0DC"/>
              <w:bottom w:val="single" w:sz="1" w:space="0" w:color="C5D0DC"/>
              <w:right w:val="single" w:sz="1" w:space="0" w:color="C5D0DC"/>
            </w:tcBorders>
            <w:shd w:val="clear" w:color="auto" w:fill="FFFFFF"/>
            <w:tcMar>
              <w:top w:w="100" w:type="dxa"/>
              <w:left w:w="160" w:type="dxa"/>
              <w:bottom w:w="100" w:type="dxa"/>
              <w:right w:w="160" w:type="dxa"/>
            </w:tcMar>
          </w:tcPr>
          <w:p w14:paraId="043C47E9" w14:textId="77777777" w:rsidR="00300699" w:rsidRDefault="00000000">
            <w:r>
              <w:rPr>
                <w:color w:val="2C3E50"/>
                <w:sz w:val="21"/>
                <w:szCs w:val="21"/>
              </w:rPr>
              <w:t>Human reviewers are systematically exposed to challenge exercises, error introduction, and feedback on their override decisions to maintain and develop calibrated judgment.</w:t>
            </w:r>
          </w:p>
        </w:tc>
      </w:tr>
      <w:tr w:rsidR="00300699" w14:paraId="13DF2B59" w14:textId="77777777">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5A205577" w14:textId="77777777" w:rsidR="00300699" w:rsidRDefault="00000000">
            <w:r>
              <w:rPr>
                <w:b/>
                <w:bCs/>
                <w:color w:val="1A2B4A"/>
                <w:sz w:val="21"/>
                <w:szCs w:val="21"/>
              </w:rPr>
              <w:t>E — Effectiveness Measurement</w:t>
            </w:r>
          </w:p>
        </w:tc>
        <w:tc>
          <w:tcPr>
            <w:tcW w:w="4680" w:type="dxa"/>
            <w:tcBorders>
              <w:top w:val="single" w:sz="1" w:space="0" w:color="C5D0DC"/>
              <w:left w:val="single" w:sz="1" w:space="0" w:color="C5D0DC"/>
              <w:bottom w:val="single" w:sz="1" w:space="0" w:color="C5D0DC"/>
              <w:right w:val="single" w:sz="1" w:space="0" w:color="C5D0DC"/>
            </w:tcBorders>
            <w:shd w:val="clear" w:color="auto" w:fill="E6F4F4"/>
            <w:tcMar>
              <w:top w:w="100" w:type="dxa"/>
              <w:left w:w="160" w:type="dxa"/>
              <w:bottom w:w="100" w:type="dxa"/>
              <w:right w:w="160" w:type="dxa"/>
            </w:tcMar>
          </w:tcPr>
          <w:p w14:paraId="257BA7C0" w14:textId="77777777" w:rsidR="00300699" w:rsidRDefault="00000000">
            <w:r>
              <w:rPr>
                <w:color w:val="2C3E50"/>
                <w:sz w:val="21"/>
                <w:szCs w:val="21"/>
              </w:rPr>
              <w:t>The value of human involvement is periodically assessed through observable metrics, and the results are used to redesign workflows, adjust training, and reset control point specifications.</w:t>
            </w:r>
          </w:p>
        </w:tc>
      </w:tr>
    </w:tbl>
    <w:p w14:paraId="738EAA74" w14:textId="77777777" w:rsidR="00300699" w:rsidRDefault="00300699">
      <w:pPr>
        <w:spacing w:after="200"/>
      </w:pPr>
    </w:p>
    <w:p w14:paraId="432E1C07" w14:textId="77777777" w:rsidR="00300699" w:rsidRDefault="00000000">
      <w:pPr>
        <w:pStyle w:val="Heading2"/>
      </w:pPr>
      <w:r>
        <w:t>5.2 Applying TRACE in Regulated Environments</w:t>
      </w:r>
    </w:p>
    <w:p w14:paraId="5AF603FF" w14:textId="77777777" w:rsidR="00300699" w:rsidRDefault="00000000">
      <w:pPr>
        <w:spacing w:after="160"/>
        <w:jc w:val="both"/>
      </w:pPr>
      <w:r>
        <w:rPr>
          <w:color w:val="2C3E50"/>
        </w:rPr>
        <w:t>The TRACE framework has particular relevance in regulated environments — clinical research, pharmaceutical manufacturing, medical device development, financial services — where the consequences of oversight failure are documented in regulatory findings rather than merely absorbed as operational inefficiency.</w:t>
      </w:r>
    </w:p>
    <w:p w14:paraId="58E9EAD0" w14:textId="77777777" w:rsidR="00300699" w:rsidRDefault="00000000">
      <w:pPr>
        <w:spacing w:after="160"/>
        <w:jc w:val="both"/>
      </w:pPr>
      <w:r w:rsidRPr="0031527F">
        <w:rPr>
          <w:color w:val="2C3E50"/>
          <w:highlight w:val="yellow"/>
        </w:rPr>
        <w:lastRenderedPageBreak/>
        <w:t>The point is not additional bureaucracy. It is the replacement of performative oversight with substantive oversight — which, in the long run, is both more efficient and more defensible.</w:t>
      </w:r>
    </w:p>
    <w:p w14:paraId="20E20096" w14:textId="77777777" w:rsidR="00300699" w:rsidRDefault="00300699">
      <w:pPr>
        <w:spacing w:after="160"/>
      </w:pPr>
    </w:p>
    <w:p w14:paraId="193D37DC" w14:textId="77777777" w:rsidR="00300699" w:rsidRDefault="00000000">
      <w:pPr>
        <w:pStyle w:val="Heading1"/>
        <w:pBdr>
          <w:bottom w:val="single" w:sz="6" w:space="0" w:color="0B6E6E"/>
        </w:pBdr>
      </w:pPr>
      <w:r>
        <w:t>6. Toward a New Vocabulary of Human Value</w:t>
      </w:r>
    </w:p>
    <w:p w14:paraId="5C94C3B1" w14:textId="77777777" w:rsidR="00300699" w:rsidRDefault="00000000">
      <w:pPr>
        <w:spacing w:after="160"/>
        <w:jc w:val="both"/>
      </w:pPr>
      <w:r>
        <w:rPr>
          <w:color w:val="2C3E50"/>
        </w:rPr>
        <w:t>The language organizations currently use to describe human involvement in AI workflows is impoverished. We speak of humans as reviewers, approvers, validators — passive roles that position the human as a final filter on AI output rather than an active contributor of irreplaceable intelligence.</w:t>
      </w:r>
    </w:p>
    <w:p w14:paraId="52245629" w14:textId="77777777" w:rsidR="00300699" w:rsidRDefault="00000000">
      <w:pPr>
        <w:spacing w:after="160"/>
        <w:jc w:val="both"/>
      </w:pPr>
      <w:r>
        <w:rPr>
          <w:color w:val="2C3E50"/>
        </w:rPr>
        <w:t xml:space="preserve">A new vocabulary is needed: one that accurately represents what humans do in AI-augmented environments when they are functioning at their best. </w:t>
      </w:r>
      <w:r w:rsidRPr="0031527F">
        <w:rPr>
          <w:color w:val="2C3E50"/>
          <w:highlight w:val="yellow"/>
        </w:rPr>
        <w:t>Humans are contextualizers</w:t>
      </w:r>
      <w:r>
        <w:rPr>
          <w:color w:val="2C3E50"/>
        </w:rPr>
        <w:t xml:space="preserve"> — they situate AI outputs within the complex, historically specific, relationally embedded realities that AI cannot perceive. Humans are </w:t>
      </w:r>
      <w:r w:rsidRPr="0031527F">
        <w:rPr>
          <w:color w:val="2C3E50"/>
          <w:highlight w:val="yellow"/>
        </w:rPr>
        <w:t>synthesizers</w:t>
      </w:r>
      <w:r>
        <w:rPr>
          <w:color w:val="2C3E50"/>
        </w:rPr>
        <w:t xml:space="preserve"> — they integrate AI-generated information with tacit knowledge, organizational memory, and professional judgment. Humans are </w:t>
      </w:r>
      <w:r w:rsidRPr="0031527F">
        <w:rPr>
          <w:color w:val="2C3E50"/>
          <w:highlight w:val="yellow"/>
        </w:rPr>
        <w:t>ethical anchors</w:t>
      </w:r>
      <w:r>
        <w:rPr>
          <w:color w:val="2C3E50"/>
        </w:rPr>
        <w:t xml:space="preserve"> — they apply the values, accountability, and long-term thinking that objective optimization cannot supply. Humans are </w:t>
      </w:r>
      <w:r w:rsidRPr="0031527F">
        <w:rPr>
          <w:color w:val="2C3E50"/>
          <w:highlight w:val="yellow"/>
        </w:rPr>
        <w:t>adaptive designers</w:t>
      </w:r>
      <w:r>
        <w:rPr>
          <w:color w:val="2C3E50"/>
        </w:rPr>
        <w:t xml:space="preserve"> — they continuously assess the human-AI interface and redesign it as AI capabilities and organizational needs evolve.</w:t>
      </w:r>
    </w:p>
    <w:p w14:paraId="570A3C35" w14:textId="77777777" w:rsidR="00300699" w:rsidRDefault="00000000">
      <w:pPr>
        <w:spacing w:after="160"/>
        <w:jc w:val="both"/>
      </w:pPr>
      <w:r>
        <w:rPr>
          <w:color w:val="2C3E50"/>
        </w:rPr>
        <w:t>These roles are not consolation prizes for professionals whose traditional expertise is being automated. They are the roles that matter most in a world where AI can do everything except know what matters.</w:t>
      </w:r>
    </w:p>
    <w:p w14:paraId="3EB4AAE0" w14:textId="77777777" w:rsidR="00300699" w:rsidRDefault="00300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300699" w14:paraId="50B119DA" w14:textId="77777777">
        <w:tc>
          <w:tcPr>
            <w:tcW w:w="9360" w:type="dxa"/>
            <w:tcBorders>
              <w:top w:val="single" w:sz="1" w:space="0" w:color="C5D0DC"/>
              <w:left w:val="single" w:sz="1" w:space="0" w:color="C5D0DC"/>
              <w:bottom w:val="single" w:sz="1" w:space="0" w:color="C5D0DC"/>
              <w:right w:val="single" w:sz="1" w:space="0" w:color="C5D0DC"/>
            </w:tcBorders>
            <w:shd w:val="clear" w:color="auto" w:fill="FDF5E6"/>
            <w:tcMar>
              <w:top w:w="160" w:type="dxa"/>
              <w:left w:w="240" w:type="dxa"/>
              <w:bottom w:w="160" w:type="dxa"/>
              <w:right w:w="240" w:type="dxa"/>
            </w:tcMar>
          </w:tcPr>
          <w:p w14:paraId="340C2340" w14:textId="77777777" w:rsidR="00300699" w:rsidRDefault="00000000">
            <w:pPr>
              <w:jc w:val="both"/>
            </w:pPr>
            <w:r>
              <w:rPr>
                <w:i/>
                <w:iCs/>
                <w:color w:val="1A2B4A"/>
              </w:rPr>
              <w:t>AI is a form of knowledge without wisdom. Wisdom — the capacity to know what matters, in this situation, for these people, with these stakes — remains irreducibly human. Our task is not to defend territory from AI, but to inhabit this territory more fully, more consciously, and more skillfully than we have before.</w:t>
            </w:r>
          </w:p>
        </w:tc>
      </w:tr>
    </w:tbl>
    <w:p w14:paraId="3539A49A" w14:textId="77777777" w:rsidR="00300699" w:rsidRDefault="00300699">
      <w:pPr>
        <w:spacing w:after="160"/>
      </w:pPr>
    </w:p>
    <w:p w14:paraId="7F6C6AB4" w14:textId="77777777" w:rsidR="00300699" w:rsidRDefault="00000000">
      <w:pPr>
        <w:pStyle w:val="Heading1"/>
        <w:pBdr>
          <w:bottom w:val="single" w:sz="6" w:space="0" w:color="0B6E6E"/>
        </w:pBdr>
      </w:pPr>
      <w:r>
        <w:t>Conclusion</w:t>
      </w:r>
    </w:p>
    <w:p w14:paraId="7D467585" w14:textId="77777777" w:rsidR="00300699" w:rsidRDefault="00000000">
      <w:pPr>
        <w:spacing w:after="160"/>
        <w:jc w:val="both"/>
      </w:pPr>
      <w:r>
        <w:rPr>
          <w:color w:val="2C3E50"/>
        </w:rPr>
        <w:t xml:space="preserve">Human-in-the-Loop, as currently practiced, offers the appearance of human control without its substance. The challenge for organizations navigating the AI transition is not to resist AI — its capabilities are real, its potential value is enormous, and resistance will simply cede competitive ground to those who do not resist. </w:t>
      </w:r>
      <w:r w:rsidRPr="0031527F">
        <w:rPr>
          <w:color w:val="2C3E50"/>
          <w:highlight w:val="yellow"/>
        </w:rPr>
        <w:t>The challenge is to insist on genuine human involvement: intentional, traceable, measurable, and grounded in the uniquely human capacities that no AI can replicate.</w:t>
      </w:r>
    </w:p>
    <w:p w14:paraId="13177285" w14:textId="77777777" w:rsidR="00300699" w:rsidRDefault="00000000">
      <w:pPr>
        <w:spacing w:after="160"/>
        <w:jc w:val="both"/>
      </w:pPr>
      <w:r>
        <w:rPr>
          <w:color w:val="2C3E50"/>
        </w:rPr>
        <w:t>This requires a fundamental rethinking of what humans are for in AI-assisted workflows — and a sustained investment in the skills, practices, and organizational structures that support genuine human-AI partnership. It requires honesty about the HITL illusion and the organizational cultures that sustain it. And it requires a new professional vocabulary that positions humans not as AI supervisors, but as the bearers of the contextual, relational, and ethical intelligence that gives AI outputs meaning and direction.</w:t>
      </w:r>
    </w:p>
    <w:p w14:paraId="05910DE5" w14:textId="77777777" w:rsidR="00300699" w:rsidRDefault="00000000">
      <w:pPr>
        <w:spacing w:after="160"/>
        <w:jc w:val="both"/>
      </w:pPr>
      <w:r>
        <w:rPr>
          <w:color w:val="2C3E50"/>
        </w:rPr>
        <w:t>The future belongs neither to AI alone nor to humans resisting AI. It belongs to humans who understand what they bring to the partnership that AI cannot — and who have the courage and skill to bring it fully.</w:t>
      </w:r>
    </w:p>
    <w:p w14:paraId="03764553" w14:textId="29C2CF29" w:rsidR="00300699" w:rsidRDefault="00300699">
      <w:pPr>
        <w:spacing w:after="100"/>
        <w:jc w:val="both"/>
      </w:pPr>
    </w:p>
    <w:sectPr w:rsidR="00300699">
      <w:footerReference w:type="default" r:id="rId11"/>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uno Galante Valerio" w:date="2026-06-10T20:38:00Z" w:initials="NG">
    <w:p w14:paraId="6308167B" w14:textId="77777777" w:rsidR="00F17006" w:rsidRDefault="00F17006" w:rsidP="00F17006">
      <w:pPr>
        <w:pStyle w:val="CommentText"/>
      </w:pPr>
      <w:r>
        <w:rPr>
          <w:rStyle w:val="CommentReference"/>
        </w:rPr>
        <w:annotationRef/>
      </w:r>
      <w:r>
        <w:t>Qualification, capacity (not 1000x in a day)</w:t>
      </w:r>
    </w:p>
  </w:comment>
  <w:comment w:id="1" w:author="Nuno Galante Valerio" w:date="2026-06-10T20:38:00Z" w:initials="NG">
    <w:p w14:paraId="18FD6AA1" w14:textId="77777777" w:rsidR="00F17006" w:rsidRDefault="00F17006" w:rsidP="00F17006">
      <w:pPr>
        <w:pStyle w:val="CommentText"/>
      </w:pPr>
      <w:r>
        <w:rPr>
          <w:rStyle w:val="CommentReference"/>
        </w:rPr>
        <w:annotationRef/>
      </w:r>
      <w:r>
        <w:t>Counterintuitively, make it hard to agree and easy to disagree, so that agreement doesn’t become a free road, unchecked.</w:t>
      </w:r>
    </w:p>
  </w:comment>
  <w:comment w:id="2" w:author="Nuno Galante Valerio" w:date="2026-06-10T20:49:00Z" w:initials="NG">
    <w:p w14:paraId="5FE7DEEB" w14:textId="77777777" w:rsidR="005239D8" w:rsidRDefault="005239D8" w:rsidP="005239D8">
      <w:pPr>
        <w:pStyle w:val="CommentText"/>
      </w:pPr>
      <w:r>
        <w:rPr>
          <w:rStyle w:val="CommentReference"/>
        </w:rPr>
        <w:annotationRef/>
      </w:r>
      <w:r>
        <w:t>I translate this as accountability or consequences of accouintability, skin in the game</w:t>
      </w:r>
    </w:p>
  </w:comment>
  <w:comment w:id="3" w:author="Nuno Galante Valerio" w:date="2026-06-10T20:50:00Z" w:initials="NG">
    <w:p w14:paraId="5E891CEE" w14:textId="77777777" w:rsidR="005239D8" w:rsidRDefault="005239D8" w:rsidP="005239D8">
      <w:pPr>
        <w:pStyle w:val="CommentText"/>
      </w:pPr>
      <w:r>
        <w:rPr>
          <w:rStyle w:val="CommentReference"/>
        </w:rPr>
        <w:annotationRef/>
      </w:r>
      <w:r>
        <w:t>Challenge: all is data. Why wouldn’t AI be able to do that too, given enough data?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08167B" w15:done="0"/>
  <w15:commentEx w15:paraId="18FD6AA1" w15:done="0"/>
  <w15:commentEx w15:paraId="5FE7DEEB" w15:done="0"/>
  <w15:commentEx w15:paraId="5E891C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24E8CC" w16cex:dateUtc="2026-06-10T18:38:00Z"/>
  <w16cex:commentExtensible w16cex:durableId="00320CBB" w16cex:dateUtc="2026-06-10T18:38:00Z"/>
  <w16cex:commentExtensible w16cex:durableId="2B3B568B" w16cex:dateUtc="2026-06-10T18:49:00Z"/>
  <w16cex:commentExtensible w16cex:durableId="0E617E2C" w16cex:dateUtc="2026-06-10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08167B" w16cid:durableId="5224E8CC"/>
  <w16cid:commentId w16cid:paraId="18FD6AA1" w16cid:durableId="00320CBB"/>
  <w16cid:commentId w16cid:paraId="5FE7DEEB" w16cid:durableId="2B3B568B"/>
  <w16cid:commentId w16cid:paraId="5E891CEE" w16cid:durableId="0E617E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21809" w14:textId="77777777" w:rsidR="00905F1A" w:rsidRDefault="00905F1A">
      <w:r>
        <w:separator/>
      </w:r>
    </w:p>
  </w:endnote>
  <w:endnote w:type="continuationSeparator" w:id="0">
    <w:p w14:paraId="45FC014F" w14:textId="77777777" w:rsidR="00905F1A" w:rsidRDefault="00905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C150" w14:textId="717D960D" w:rsidR="00300699" w:rsidRDefault="00300699">
    <w:pPr>
      <w:pBdr>
        <w:top w:val="single" w:sz="4" w:space="0" w:color="C5D0DC"/>
      </w:pBdr>
      <w:tabs>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2D134" w14:textId="77777777" w:rsidR="00905F1A" w:rsidRDefault="00905F1A">
      <w:r>
        <w:separator/>
      </w:r>
    </w:p>
  </w:footnote>
  <w:footnote w:type="continuationSeparator" w:id="0">
    <w:p w14:paraId="54AD52E3" w14:textId="77777777" w:rsidR="00905F1A" w:rsidRDefault="00905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440"/>
    <w:multiLevelType w:val="hybridMultilevel"/>
    <w:tmpl w:val="0F64CDDA"/>
    <w:lvl w:ilvl="0" w:tplc="A0D6BC52">
      <w:start w:val="1"/>
      <w:numFmt w:val="bullet"/>
      <w:lvlText w:val="•"/>
      <w:lvlJc w:val="left"/>
      <w:pPr>
        <w:ind w:left="720" w:hanging="360"/>
      </w:pPr>
    </w:lvl>
    <w:lvl w:ilvl="1" w:tplc="28022F84">
      <w:numFmt w:val="decimal"/>
      <w:lvlText w:val=""/>
      <w:lvlJc w:val="left"/>
    </w:lvl>
    <w:lvl w:ilvl="2" w:tplc="507ACACC">
      <w:numFmt w:val="decimal"/>
      <w:lvlText w:val=""/>
      <w:lvlJc w:val="left"/>
    </w:lvl>
    <w:lvl w:ilvl="3" w:tplc="A6D82ADC">
      <w:numFmt w:val="decimal"/>
      <w:lvlText w:val=""/>
      <w:lvlJc w:val="left"/>
    </w:lvl>
    <w:lvl w:ilvl="4" w:tplc="B7A0E42E">
      <w:numFmt w:val="decimal"/>
      <w:lvlText w:val=""/>
      <w:lvlJc w:val="left"/>
    </w:lvl>
    <w:lvl w:ilvl="5" w:tplc="4204E530">
      <w:numFmt w:val="decimal"/>
      <w:lvlText w:val=""/>
      <w:lvlJc w:val="left"/>
    </w:lvl>
    <w:lvl w:ilvl="6" w:tplc="0348202C">
      <w:numFmt w:val="decimal"/>
      <w:lvlText w:val=""/>
      <w:lvlJc w:val="left"/>
    </w:lvl>
    <w:lvl w:ilvl="7" w:tplc="9576486E">
      <w:numFmt w:val="decimal"/>
      <w:lvlText w:val=""/>
      <w:lvlJc w:val="left"/>
    </w:lvl>
    <w:lvl w:ilvl="8" w:tplc="3B9667AA">
      <w:numFmt w:val="decimal"/>
      <w:lvlText w:val=""/>
      <w:lvlJc w:val="left"/>
    </w:lvl>
  </w:abstractNum>
  <w:abstractNum w:abstractNumId="1" w15:restartNumberingAfterBreak="0">
    <w:nsid w:val="1A2C39BD"/>
    <w:multiLevelType w:val="hybridMultilevel"/>
    <w:tmpl w:val="17D22206"/>
    <w:lvl w:ilvl="0" w:tplc="C27CAB96">
      <w:start w:val="1"/>
      <w:numFmt w:val="bullet"/>
      <w:lvlText w:val="●"/>
      <w:lvlJc w:val="left"/>
      <w:pPr>
        <w:ind w:left="720" w:hanging="360"/>
      </w:pPr>
    </w:lvl>
    <w:lvl w:ilvl="1" w:tplc="22127CB4">
      <w:start w:val="1"/>
      <w:numFmt w:val="bullet"/>
      <w:lvlText w:val="○"/>
      <w:lvlJc w:val="left"/>
      <w:pPr>
        <w:ind w:left="1440" w:hanging="360"/>
      </w:pPr>
    </w:lvl>
    <w:lvl w:ilvl="2" w:tplc="7CA2B32A">
      <w:start w:val="1"/>
      <w:numFmt w:val="bullet"/>
      <w:lvlText w:val="■"/>
      <w:lvlJc w:val="left"/>
      <w:pPr>
        <w:ind w:left="2160" w:hanging="360"/>
      </w:pPr>
    </w:lvl>
    <w:lvl w:ilvl="3" w:tplc="D06A03D8">
      <w:start w:val="1"/>
      <w:numFmt w:val="bullet"/>
      <w:lvlText w:val="●"/>
      <w:lvlJc w:val="left"/>
      <w:pPr>
        <w:ind w:left="2880" w:hanging="360"/>
      </w:pPr>
    </w:lvl>
    <w:lvl w:ilvl="4" w:tplc="B1C2D2F8">
      <w:start w:val="1"/>
      <w:numFmt w:val="bullet"/>
      <w:lvlText w:val="○"/>
      <w:lvlJc w:val="left"/>
      <w:pPr>
        <w:ind w:left="3600" w:hanging="360"/>
      </w:pPr>
    </w:lvl>
    <w:lvl w:ilvl="5" w:tplc="132E3908">
      <w:start w:val="1"/>
      <w:numFmt w:val="bullet"/>
      <w:lvlText w:val="■"/>
      <w:lvlJc w:val="left"/>
      <w:pPr>
        <w:ind w:left="4320" w:hanging="360"/>
      </w:pPr>
    </w:lvl>
    <w:lvl w:ilvl="6" w:tplc="668C7A1E">
      <w:start w:val="1"/>
      <w:numFmt w:val="bullet"/>
      <w:lvlText w:val="●"/>
      <w:lvlJc w:val="left"/>
      <w:pPr>
        <w:ind w:left="5040" w:hanging="360"/>
      </w:pPr>
    </w:lvl>
    <w:lvl w:ilvl="7" w:tplc="3A0EB5C8">
      <w:start w:val="1"/>
      <w:numFmt w:val="bullet"/>
      <w:lvlText w:val="●"/>
      <w:lvlJc w:val="left"/>
      <w:pPr>
        <w:ind w:left="5760" w:hanging="360"/>
      </w:pPr>
    </w:lvl>
    <w:lvl w:ilvl="8" w:tplc="55D2D1B6">
      <w:start w:val="1"/>
      <w:numFmt w:val="bullet"/>
      <w:lvlText w:val="●"/>
      <w:lvlJc w:val="left"/>
      <w:pPr>
        <w:ind w:left="6480" w:hanging="360"/>
      </w:pPr>
    </w:lvl>
  </w:abstractNum>
  <w:num w:numId="1" w16cid:durableId="1201630380">
    <w:abstractNumId w:val="1"/>
    <w:lvlOverride w:ilvl="0">
      <w:startOverride w:val="1"/>
    </w:lvlOverride>
  </w:num>
  <w:num w:numId="2" w16cid:durableId="1839231322">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no Galante Valerio">
    <w15:presenceInfo w15:providerId="AD" w15:userId="S::M221407@ONE.merckgroup.com::4a8fdc28-ad8e-43e9-a1b0-306ae5f472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699"/>
    <w:rsid w:val="002A1831"/>
    <w:rsid w:val="00300699"/>
    <w:rsid w:val="0031527F"/>
    <w:rsid w:val="003D4A35"/>
    <w:rsid w:val="00440266"/>
    <w:rsid w:val="004B20C7"/>
    <w:rsid w:val="005239D8"/>
    <w:rsid w:val="00905F1A"/>
    <w:rsid w:val="00D94C52"/>
    <w:rsid w:val="00F17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27D23"/>
  <w15:docId w15:val="{724B81AD-666F-4EF0-A6BC-ADF781A4B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color w:val="1A2B4A"/>
      <w:sz w:val="32"/>
      <w:szCs w:val="32"/>
    </w:rPr>
  </w:style>
  <w:style w:type="paragraph" w:styleId="Heading2">
    <w:name w:val="heading 2"/>
    <w:uiPriority w:val="9"/>
    <w:unhideWhenUsed/>
    <w:qFormat/>
    <w:pPr>
      <w:spacing w:before="320" w:after="160"/>
      <w:outlineLvl w:val="1"/>
    </w:pPr>
    <w:rPr>
      <w:b/>
      <w:bCs/>
      <w:color w:val="0B6E6E"/>
      <w:sz w:val="26"/>
      <w:szCs w:val="26"/>
    </w:rPr>
  </w:style>
  <w:style w:type="paragraph" w:styleId="Heading3">
    <w:name w:val="heading 3"/>
    <w:uiPriority w:val="9"/>
    <w:unhideWhenUsed/>
    <w:qFormat/>
    <w:pPr>
      <w:spacing w:before="240" w:after="100"/>
      <w:outlineLvl w:val="2"/>
    </w:pPr>
    <w:rPr>
      <w:b/>
      <w:bCs/>
      <w:color w:val="C9933B"/>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94C52"/>
    <w:pPr>
      <w:tabs>
        <w:tab w:val="center" w:pos="4680"/>
        <w:tab w:val="right" w:pos="9360"/>
      </w:tabs>
    </w:pPr>
  </w:style>
  <w:style w:type="character" w:customStyle="1" w:styleId="HeaderChar">
    <w:name w:val="Header Char"/>
    <w:basedOn w:val="DefaultParagraphFont"/>
    <w:link w:val="Header"/>
    <w:uiPriority w:val="99"/>
    <w:rsid w:val="00D94C52"/>
  </w:style>
  <w:style w:type="paragraph" w:styleId="Footer">
    <w:name w:val="footer"/>
    <w:basedOn w:val="Normal"/>
    <w:link w:val="FooterChar"/>
    <w:uiPriority w:val="99"/>
    <w:unhideWhenUsed/>
    <w:rsid w:val="00D94C52"/>
    <w:pPr>
      <w:tabs>
        <w:tab w:val="center" w:pos="4680"/>
        <w:tab w:val="right" w:pos="9360"/>
      </w:tabs>
    </w:pPr>
  </w:style>
  <w:style w:type="character" w:customStyle="1" w:styleId="FooterChar">
    <w:name w:val="Footer Char"/>
    <w:basedOn w:val="DefaultParagraphFont"/>
    <w:link w:val="Footer"/>
    <w:uiPriority w:val="99"/>
    <w:rsid w:val="00D94C52"/>
  </w:style>
  <w:style w:type="character" w:styleId="CommentReference">
    <w:name w:val="annotation reference"/>
    <w:basedOn w:val="DefaultParagraphFont"/>
    <w:uiPriority w:val="99"/>
    <w:semiHidden/>
    <w:unhideWhenUsed/>
    <w:rsid w:val="00F17006"/>
    <w:rPr>
      <w:sz w:val="16"/>
      <w:szCs w:val="16"/>
    </w:rPr>
  </w:style>
  <w:style w:type="paragraph" w:styleId="CommentText">
    <w:name w:val="annotation text"/>
    <w:basedOn w:val="Normal"/>
    <w:link w:val="CommentTextChar"/>
    <w:uiPriority w:val="99"/>
    <w:unhideWhenUsed/>
    <w:rsid w:val="00F17006"/>
    <w:rPr>
      <w:sz w:val="20"/>
      <w:szCs w:val="20"/>
    </w:rPr>
  </w:style>
  <w:style w:type="character" w:customStyle="1" w:styleId="CommentTextChar">
    <w:name w:val="Comment Text Char"/>
    <w:basedOn w:val="DefaultParagraphFont"/>
    <w:link w:val="CommentText"/>
    <w:uiPriority w:val="99"/>
    <w:rsid w:val="00F17006"/>
    <w:rPr>
      <w:sz w:val="20"/>
      <w:szCs w:val="20"/>
    </w:rPr>
  </w:style>
  <w:style w:type="paragraph" w:styleId="CommentSubject">
    <w:name w:val="annotation subject"/>
    <w:basedOn w:val="CommentText"/>
    <w:next w:val="CommentText"/>
    <w:link w:val="CommentSubjectChar"/>
    <w:uiPriority w:val="99"/>
    <w:semiHidden/>
    <w:unhideWhenUsed/>
    <w:rsid w:val="00F17006"/>
    <w:rPr>
      <w:b/>
      <w:bCs/>
    </w:rPr>
  </w:style>
  <w:style w:type="character" w:customStyle="1" w:styleId="CommentSubjectChar">
    <w:name w:val="Comment Subject Char"/>
    <w:basedOn w:val="CommentTextChar"/>
    <w:link w:val="CommentSubject"/>
    <w:uiPriority w:val="99"/>
    <w:semiHidden/>
    <w:rsid w:val="00F170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3173</Words>
  <Characters>18659</Characters>
  <Application>Microsoft Office Word</Application>
  <DocSecurity>0</DocSecurity>
  <Lines>365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Nuno Galante Valerio</cp:lastModifiedBy>
  <cp:revision>2</cp:revision>
  <dcterms:created xsi:type="dcterms:W3CDTF">2026-06-10T18:58:00Z</dcterms:created>
  <dcterms:modified xsi:type="dcterms:W3CDTF">2026-06-10T18:58:00Z</dcterms:modified>
</cp:coreProperties>
</file>